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D0" w:rsidRPr="00C747D0" w:rsidRDefault="00C747D0" w:rsidP="00C747D0">
      <w:pPr>
        <w:pStyle w:val="Web"/>
        <w:shd w:val="clear" w:color="auto" w:fill="FFFFFF"/>
        <w:spacing w:line="307" w:lineRule="atLeast"/>
        <w:jc w:val="center"/>
        <w:rPr>
          <w:rStyle w:val="a3"/>
          <w:rFonts w:ascii="標楷體" w:eastAsia="標楷體" w:hAnsi="標楷體"/>
          <w:color w:val="333333"/>
          <w:sz w:val="48"/>
          <w:szCs w:val="48"/>
        </w:rPr>
      </w:pPr>
      <w:bookmarkStart w:id="0" w:name="_GoBack"/>
      <w:bookmarkEnd w:id="0"/>
      <w:r w:rsidRPr="00C747D0">
        <w:rPr>
          <w:rStyle w:val="a3"/>
          <w:rFonts w:ascii="標楷體" w:eastAsia="標楷體" w:hAnsi="標楷體" w:hint="eastAsia"/>
          <w:color w:val="333333"/>
          <w:sz w:val="48"/>
          <w:szCs w:val="48"/>
        </w:rPr>
        <w:t>廣達</w:t>
      </w:r>
      <w:r>
        <w:rPr>
          <w:rStyle w:val="a3"/>
          <w:rFonts w:ascii="標楷體" w:eastAsia="標楷體" w:hAnsi="標楷體" w:hint="eastAsia"/>
          <w:color w:val="333333"/>
          <w:sz w:val="48"/>
          <w:szCs w:val="48"/>
        </w:rPr>
        <w:t>電腦股份有限公司</w:t>
      </w:r>
    </w:p>
    <w:p w:rsidR="00C747D0" w:rsidRDefault="00C747D0" w:rsidP="00C747D0">
      <w:pPr>
        <w:pStyle w:val="Web"/>
        <w:shd w:val="clear" w:color="auto" w:fill="FFFFFF"/>
        <w:spacing w:line="307" w:lineRule="atLeast"/>
        <w:rPr>
          <w:rStyle w:val="a3"/>
          <w:rFonts w:ascii="Verdana" w:hAnsi="Verdana"/>
          <w:color w:val="333333"/>
          <w:sz w:val="20"/>
          <w:szCs w:val="20"/>
        </w:rPr>
      </w:pPr>
    </w:p>
    <w:p w:rsidR="00C747D0" w:rsidRPr="00C747D0" w:rsidRDefault="00C747D0" w:rsidP="00C747D0">
      <w:pPr>
        <w:pStyle w:val="Web"/>
        <w:shd w:val="clear" w:color="auto" w:fill="FFFFFF"/>
        <w:spacing w:line="307" w:lineRule="atLeast"/>
        <w:rPr>
          <w:rStyle w:val="a3"/>
          <w:rFonts w:ascii="Verdana" w:hAnsi="Verdana"/>
          <w:color w:val="333333"/>
          <w:sz w:val="32"/>
          <w:szCs w:val="32"/>
        </w:rPr>
      </w:pP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>組長</w:t>
      </w: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>:</w:t>
      </w:r>
      <w:r>
        <w:rPr>
          <w:rStyle w:val="a3"/>
          <w:rFonts w:ascii="Verdana" w:hAnsi="Verdana" w:hint="eastAsia"/>
          <w:color w:val="333333"/>
          <w:sz w:val="32"/>
          <w:szCs w:val="32"/>
        </w:rPr>
        <w:t xml:space="preserve">    </w:t>
      </w: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>韓佳均</w:t>
      </w:r>
      <w:r>
        <w:rPr>
          <w:rStyle w:val="a3"/>
          <w:rFonts w:ascii="Verdana" w:hAnsi="Verdana" w:hint="eastAsia"/>
          <w:color w:val="333333"/>
          <w:sz w:val="32"/>
          <w:szCs w:val="32"/>
        </w:rPr>
        <w:t>101049044</w:t>
      </w:r>
    </w:p>
    <w:p w:rsidR="00C747D0" w:rsidRDefault="00C747D0" w:rsidP="00C747D0">
      <w:pPr>
        <w:pStyle w:val="Web"/>
        <w:shd w:val="clear" w:color="auto" w:fill="FFFFFF"/>
        <w:spacing w:line="307" w:lineRule="atLeast"/>
        <w:rPr>
          <w:rStyle w:val="a3"/>
          <w:rFonts w:ascii="Verdana" w:hAnsi="Verdana"/>
          <w:color w:val="333333"/>
          <w:sz w:val="32"/>
          <w:szCs w:val="32"/>
        </w:rPr>
      </w:pP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>組員</w:t>
      </w: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>:</w:t>
      </w:r>
      <w:r>
        <w:rPr>
          <w:rStyle w:val="a3"/>
          <w:rFonts w:ascii="Verdana" w:hAnsi="Verdana" w:hint="eastAsia"/>
          <w:color w:val="333333"/>
          <w:sz w:val="32"/>
          <w:szCs w:val="32"/>
        </w:rPr>
        <w:t xml:space="preserve">  </w:t>
      </w:r>
    </w:p>
    <w:p w:rsidR="00C747D0" w:rsidRDefault="00C747D0" w:rsidP="00C747D0">
      <w:pPr>
        <w:pStyle w:val="Web"/>
        <w:shd w:val="clear" w:color="auto" w:fill="FFFFFF"/>
        <w:spacing w:line="307" w:lineRule="atLeast"/>
        <w:rPr>
          <w:rFonts w:ascii="Verdana" w:hAnsi="Verdana"/>
          <w:b/>
          <w:bCs/>
          <w:color w:val="333333"/>
          <w:sz w:val="32"/>
          <w:szCs w:val="32"/>
        </w:rPr>
      </w:pP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>鄭宇真</w:t>
      </w: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 xml:space="preserve"> 101048039</w:t>
      </w:r>
      <w:r>
        <w:rPr>
          <w:rStyle w:val="a3"/>
          <w:rFonts w:ascii="Verdana" w:hAnsi="Verdana" w:hint="eastAsia"/>
          <w:color w:val="333333"/>
          <w:sz w:val="32"/>
          <w:szCs w:val="32"/>
        </w:rPr>
        <w:t xml:space="preserve">        </w:t>
      </w:r>
      <w:r w:rsidRPr="00C747D0">
        <w:rPr>
          <w:rFonts w:ascii="Verdana" w:hAnsi="Verdana" w:hint="eastAsia"/>
          <w:b/>
          <w:bCs/>
          <w:color w:val="333333"/>
          <w:sz w:val="32"/>
          <w:szCs w:val="32"/>
        </w:rPr>
        <w:t>林美慧</w:t>
      </w:r>
      <w:r w:rsidRPr="00C747D0">
        <w:rPr>
          <w:rFonts w:ascii="Verdana" w:hAnsi="Verdana" w:hint="eastAsia"/>
          <w:b/>
          <w:bCs/>
          <w:color w:val="333333"/>
          <w:sz w:val="32"/>
          <w:szCs w:val="32"/>
        </w:rPr>
        <w:t>101049045</w:t>
      </w:r>
      <w:r>
        <w:rPr>
          <w:rFonts w:ascii="Verdana" w:hAnsi="Verdana" w:hint="eastAsia"/>
          <w:b/>
          <w:bCs/>
          <w:color w:val="333333"/>
          <w:sz w:val="32"/>
          <w:szCs w:val="32"/>
        </w:rPr>
        <w:t xml:space="preserve">         </w:t>
      </w:r>
      <w:r w:rsidRPr="00C747D0">
        <w:rPr>
          <w:rFonts w:ascii="Verdana" w:hAnsi="Verdana" w:hint="eastAsia"/>
          <w:b/>
          <w:bCs/>
          <w:color w:val="333333"/>
          <w:sz w:val="32"/>
          <w:szCs w:val="32"/>
        </w:rPr>
        <w:t>劉真真</w:t>
      </w:r>
      <w:r w:rsidRPr="00C747D0">
        <w:rPr>
          <w:rFonts w:ascii="Verdana" w:hAnsi="Verdana" w:hint="eastAsia"/>
          <w:b/>
          <w:bCs/>
          <w:color w:val="333333"/>
          <w:sz w:val="32"/>
          <w:szCs w:val="32"/>
        </w:rPr>
        <w:t>101049015</w:t>
      </w:r>
      <w:r>
        <w:rPr>
          <w:rFonts w:ascii="Verdana" w:hAnsi="Verdana" w:hint="eastAsia"/>
          <w:b/>
          <w:bCs/>
          <w:color w:val="333333"/>
          <w:sz w:val="32"/>
          <w:szCs w:val="32"/>
        </w:rPr>
        <w:t xml:space="preserve">         </w:t>
      </w:r>
      <w:r w:rsidRPr="00C747D0">
        <w:rPr>
          <w:rFonts w:ascii="Verdana" w:hAnsi="Verdana" w:hint="eastAsia"/>
          <w:b/>
          <w:bCs/>
          <w:color w:val="333333"/>
          <w:sz w:val="32"/>
          <w:szCs w:val="32"/>
        </w:rPr>
        <w:t>鄭庭</w:t>
      </w:r>
      <w:r w:rsidRPr="00C747D0">
        <w:rPr>
          <w:rFonts w:ascii="Verdana" w:hAnsi="Verdana" w:hint="eastAsia"/>
          <w:b/>
          <w:bCs/>
          <w:color w:val="333333"/>
          <w:sz w:val="32"/>
          <w:szCs w:val="32"/>
        </w:rPr>
        <w:t>101049002</w:t>
      </w:r>
    </w:p>
    <w:p w:rsidR="00C747D0" w:rsidRPr="00C747D0" w:rsidRDefault="00C747D0" w:rsidP="00C747D0">
      <w:pPr>
        <w:pStyle w:val="Web"/>
        <w:shd w:val="clear" w:color="auto" w:fill="FFFFFF"/>
        <w:spacing w:line="307" w:lineRule="atLeast"/>
        <w:rPr>
          <w:rFonts w:ascii="Verdana" w:hAnsi="Verdana"/>
          <w:b/>
          <w:bCs/>
          <w:color w:val="333333"/>
          <w:sz w:val="32"/>
          <w:szCs w:val="32"/>
        </w:rPr>
      </w:pPr>
      <w:r w:rsidRPr="00C747D0">
        <w:rPr>
          <w:rFonts w:ascii="Verdana" w:hAnsi="Verdana" w:hint="eastAsia"/>
          <w:b/>
          <w:bCs/>
          <w:color w:val="333333"/>
          <w:sz w:val="32"/>
          <w:szCs w:val="32"/>
        </w:rPr>
        <w:t>黃雅翎</w:t>
      </w:r>
      <w:r w:rsidRPr="00C747D0">
        <w:rPr>
          <w:rFonts w:ascii="Verdana" w:hAnsi="Verdana" w:hint="eastAsia"/>
          <w:b/>
          <w:bCs/>
          <w:color w:val="333333"/>
          <w:sz w:val="32"/>
          <w:szCs w:val="32"/>
        </w:rPr>
        <w:t>101049037</w:t>
      </w:r>
      <w:r>
        <w:rPr>
          <w:rFonts w:ascii="Verdana" w:hAnsi="Verdana" w:hint="eastAsia"/>
          <w:b/>
          <w:bCs/>
          <w:color w:val="333333"/>
          <w:sz w:val="32"/>
          <w:szCs w:val="32"/>
        </w:rPr>
        <w:t xml:space="preserve">         </w:t>
      </w:r>
      <w:r w:rsidRPr="00C747D0">
        <w:rPr>
          <w:rFonts w:ascii="Verdana" w:hAnsi="Verdana" w:hint="eastAsia"/>
          <w:b/>
          <w:bCs/>
          <w:color w:val="333333"/>
          <w:sz w:val="32"/>
          <w:szCs w:val="32"/>
        </w:rPr>
        <w:t>尤怡人</w:t>
      </w:r>
      <w:r w:rsidRPr="00C747D0">
        <w:rPr>
          <w:rFonts w:ascii="Verdana" w:hAnsi="Verdana" w:hint="eastAsia"/>
          <w:b/>
          <w:bCs/>
          <w:color w:val="333333"/>
          <w:sz w:val="32"/>
          <w:szCs w:val="32"/>
        </w:rPr>
        <w:t>101049021</w:t>
      </w:r>
    </w:p>
    <w:p w:rsidR="00C747D0" w:rsidRPr="00C747D0" w:rsidRDefault="00C747D0" w:rsidP="00C747D0">
      <w:pPr>
        <w:pStyle w:val="Web"/>
        <w:rPr>
          <w:rFonts w:ascii="Verdana" w:hAnsi="Verdana"/>
          <w:b/>
          <w:bCs/>
          <w:color w:val="333333"/>
          <w:sz w:val="32"/>
          <w:szCs w:val="32"/>
        </w:rPr>
      </w:pPr>
      <w:r w:rsidRPr="00C747D0">
        <w:rPr>
          <w:rFonts w:ascii="Verdana" w:hAnsi="Verdana" w:hint="eastAsia"/>
          <w:b/>
          <w:bCs/>
          <w:color w:val="333333"/>
          <w:sz w:val="32"/>
          <w:szCs w:val="32"/>
        </w:rPr>
        <w:t>黃奕菁</w:t>
      </w:r>
      <w:r w:rsidRPr="00C747D0">
        <w:rPr>
          <w:rFonts w:ascii="Verdana" w:hAnsi="Verdana" w:hint="eastAsia"/>
          <w:b/>
          <w:bCs/>
          <w:color w:val="333333"/>
          <w:sz w:val="32"/>
          <w:szCs w:val="32"/>
        </w:rPr>
        <w:t>101049029</w:t>
      </w:r>
      <w:r>
        <w:rPr>
          <w:rFonts w:ascii="Verdana" w:hAnsi="Verdana" w:hint="eastAsia"/>
          <w:b/>
          <w:bCs/>
          <w:color w:val="333333"/>
          <w:sz w:val="32"/>
          <w:szCs w:val="32"/>
        </w:rPr>
        <w:t xml:space="preserve">         </w:t>
      </w:r>
      <w:r w:rsidRPr="00C747D0">
        <w:rPr>
          <w:rFonts w:ascii="Verdana" w:hAnsi="Verdana" w:hint="eastAsia"/>
          <w:b/>
          <w:bCs/>
          <w:color w:val="333333"/>
          <w:sz w:val="32"/>
          <w:szCs w:val="32"/>
        </w:rPr>
        <w:t>莊麗娟</w:t>
      </w:r>
      <w:r w:rsidRPr="00C747D0">
        <w:rPr>
          <w:rFonts w:ascii="Verdana" w:hAnsi="Verdana" w:hint="eastAsia"/>
          <w:b/>
          <w:bCs/>
          <w:color w:val="333333"/>
          <w:sz w:val="32"/>
          <w:szCs w:val="32"/>
        </w:rPr>
        <w:t>101049024</w:t>
      </w:r>
    </w:p>
    <w:p w:rsidR="00C747D0" w:rsidRPr="00C747D0" w:rsidRDefault="00C747D0" w:rsidP="00C747D0">
      <w:pPr>
        <w:pStyle w:val="Web"/>
        <w:rPr>
          <w:rFonts w:ascii="Verdana" w:hAnsi="Verdana"/>
          <w:b/>
          <w:bCs/>
          <w:color w:val="333333"/>
          <w:sz w:val="32"/>
          <w:szCs w:val="32"/>
        </w:rPr>
      </w:pPr>
      <w:r w:rsidRPr="00C747D0">
        <w:rPr>
          <w:rFonts w:ascii="Verdana" w:hAnsi="Verdana" w:hint="eastAsia"/>
          <w:b/>
          <w:bCs/>
          <w:color w:val="333333"/>
          <w:sz w:val="32"/>
          <w:szCs w:val="32"/>
        </w:rPr>
        <w:t>岩怡君</w:t>
      </w:r>
      <w:r w:rsidRPr="00C747D0">
        <w:rPr>
          <w:rFonts w:ascii="Verdana" w:hAnsi="Verdana" w:hint="eastAsia"/>
          <w:b/>
          <w:bCs/>
          <w:color w:val="333333"/>
          <w:sz w:val="32"/>
          <w:szCs w:val="32"/>
        </w:rPr>
        <w:t xml:space="preserve"> 101049027</w:t>
      </w:r>
      <w:r>
        <w:rPr>
          <w:rFonts w:ascii="Verdana" w:hAnsi="Verdana" w:hint="eastAsia"/>
          <w:b/>
          <w:bCs/>
          <w:color w:val="333333"/>
          <w:sz w:val="32"/>
          <w:szCs w:val="32"/>
        </w:rPr>
        <w:t xml:space="preserve">        </w:t>
      </w:r>
      <w:r w:rsidRPr="00C747D0">
        <w:rPr>
          <w:rFonts w:ascii="Verdana" w:hAnsi="Verdana" w:hint="eastAsia"/>
          <w:b/>
          <w:bCs/>
          <w:color w:val="333333"/>
          <w:sz w:val="32"/>
          <w:szCs w:val="32"/>
        </w:rPr>
        <w:t>盧建龍</w:t>
      </w:r>
      <w:r w:rsidRPr="00C747D0">
        <w:rPr>
          <w:rFonts w:ascii="Verdana" w:hAnsi="Verdana" w:hint="eastAsia"/>
          <w:b/>
          <w:bCs/>
          <w:color w:val="333333"/>
          <w:sz w:val="32"/>
          <w:szCs w:val="32"/>
        </w:rPr>
        <w:t xml:space="preserve"> 101049013</w:t>
      </w:r>
    </w:p>
    <w:p w:rsidR="00C747D0" w:rsidRPr="00C747D0" w:rsidRDefault="00C747D0" w:rsidP="00C747D0">
      <w:pPr>
        <w:pStyle w:val="Web"/>
        <w:shd w:val="clear" w:color="auto" w:fill="FFFFFF"/>
        <w:spacing w:line="307" w:lineRule="atLeast"/>
        <w:rPr>
          <w:rStyle w:val="a3"/>
          <w:rFonts w:ascii="Verdana" w:hAnsi="Verdana"/>
          <w:color w:val="333333"/>
          <w:sz w:val="32"/>
          <w:szCs w:val="32"/>
        </w:rPr>
      </w:pP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>洪懿萱</w:t>
      </w: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>101048050</w:t>
      </w:r>
      <w:r>
        <w:rPr>
          <w:rStyle w:val="a3"/>
          <w:rFonts w:ascii="Verdana" w:hAnsi="Verdana" w:hint="eastAsia"/>
          <w:color w:val="333333"/>
          <w:sz w:val="32"/>
          <w:szCs w:val="32"/>
        </w:rPr>
        <w:t xml:space="preserve">        </w:t>
      </w: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>黃翊庭</w:t>
      </w: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 xml:space="preserve"> 101048025</w:t>
      </w:r>
    </w:p>
    <w:p w:rsidR="00C747D0" w:rsidRPr="00C747D0" w:rsidRDefault="00C747D0" w:rsidP="00C747D0">
      <w:pPr>
        <w:pStyle w:val="Web"/>
        <w:shd w:val="clear" w:color="auto" w:fill="FFFFFF"/>
        <w:spacing w:line="307" w:lineRule="atLeast"/>
        <w:rPr>
          <w:rStyle w:val="a3"/>
          <w:rFonts w:ascii="Verdana" w:hAnsi="Verdana"/>
          <w:color w:val="333333"/>
          <w:sz w:val="32"/>
          <w:szCs w:val="32"/>
        </w:rPr>
      </w:pP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>游景涵</w:t>
      </w: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 xml:space="preserve"> 101048015</w:t>
      </w:r>
      <w:r>
        <w:rPr>
          <w:rStyle w:val="a3"/>
          <w:rFonts w:ascii="Verdana" w:hAnsi="Verdana" w:hint="eastAsia"/>
          <w:color w:val="333333"/>
          <w:sz w:val="32"/>
          <w:szCs w:val="32"/>
        </w:rPr>
        <w:t xml:space="preserve">        </w:t>
      </w: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>梁家端</w:t>
      </w: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>101049040</w:t>
      </w:r>
    </w:p>
    <w:p w:rsidR="00C747D0" w:rsidRPr="00C747D0" w:rsidRDefault="00C747D0" w:rsidP="00C747D0">
      <w:pPr>
        <w:pStyle w:val="Web"/>
        <w:shd w:val="clear" w:color="auto" w:fill="FFFFFF"/>
        <w:spacing w:line="307" w:lineRule="atLeast"/>
        <w:rPr>
          <w:rStyle w:val="a3"/>
          <w:rFonts w:ascii="Verdana" w:hAnsi="Verdana"/>
          <w:color w:val="333333"/>
          <w:sz w:val="32"/>
          <w:szCs w:val="32"/>
        </w:rPr>
      </w:pP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>黃郁雯</w:t>
      </w: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>101049049</w:t>
      </w:r>
      <w:r>
        <w:rPr>
          <w:rStyle w:val="a3"/>
          <w:rFonts w:ascii="Verdana" w:hAnsi="Verdana" w:hint="eastAsia"/>
          <w:color w:val="333333"/>
          <w:sz w:val="32"/>
          <w:szCs w:val="32"/>
        </w:rPr>
        <w:t xml:space="preserve">         </w:t>
      </w: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>鍾曉宜</w:t>
      </w: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>101049071</w:t>
      </w:r>
    </w:p>
    <w:p w:rsidR="00C747D0" w:rsidRPr="00C747D0" w:rsidRDefault="00C747D0" w:rsidP="00C747D0">
      <w:pPr>
        <w:pStyle w:val="Web"/>
        <w:shd w:val="clear" w:color="auto" w:fill="FFFFFF"/>
        <w:spacing w:line="307" w:lineRule="atLeast"/>
        <w:rPr>
          <w:rStyle w:val="a3"/>
          <w:rFonts w:ascii="Verdana" w:hAnsi="Verdana"/>
          <w:color w:val="333333"/>
          <w:sz w:val="32"/>
          <w:szCs w:val="32"/>
        </w:rPr>
      </w:pP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>蔡杏敏</w:t>
      </w: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>101049033</w:t>
      </w:r>
      <w:r>
        <w:rPr>
          <w:rStyle w:val="a3"/>
          <w:rFonts w:ascii="Verdana" w:hAnsi="Verdana" w:hint="eastAsia"/>
          <w:color w:val="333333"/>
          <w:sz w:val="32"/>
          <w:szCs w:val="32"/>
        </w:rPr>
        <w:t xml:space="preserve">         </w:t>
      </w: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>施妙儀</w:t>
      </w:r>
      <w:r w:rsidRPr="00C747D0">
        <w:rPr>
          <w:rStyle w:val="a3"/>
          <w:rFonts w:ascii="Verdana" w:hAnsi="Verdana" w:hint="eastAsia"/>
          <w:color w:val="333333"/>
          <w:sz w:val="32"/>
          <w:szCs w:val="32"/>
        </w:rPr>
        <w:t>101049016</w:t>
      </w:r>
    </w:p>
    <w:p w:rsidR="00C747D0" w:rsidRPr="00C747D0" w:rsidRDefault="00C747D0" w:rsidP="00C747D0">
      <w:pPr>
        <w:pStyle w:val="Web"/>
        <w:shd w:val="clear" w:color="auto" w:fill="FFFFFF"/>
        <w:spacing w:line="307" w:lineRule="atLeast"/>
        <w:rPr>
          <w:rStyle w:val="a3"/>
          <w:rFonts w:ascii="Verdana" w:hAnsi="Verdana"/>
          <w:color w:val="333333"/>
          <w:sz w:val="32"/>
          <w:szCs w:val="32"/>
        </w:rPr>
      </w:pPr>
      <w:r>
        <w:rPr>
          <w:rStyle w:val="a3"/>
          <w:rFonts w:ascii="Verdana" w:hAnsi="Verdana" w:hint="eastAsia"/>
          <w:color w:val="333333"/>
          <w:sz w:val="32"/>
          <w:szCs w:val="32"/>
        </w:rPr>
        <w:t xml:space="preserve">  </w:t>
      </w:r>
    </w:p>
    <w:p w:rsidR="00C747D0" w:rsidRPr="00C747D0" w:rsidRDefault="00C747D0" w:rsidP="00C747D0">
      <w:pPr>
        <w:rPr>
          <w:rFonts w:ascii="標楷體" w:eastAsia="標楷體" w:hAnsi="標楷體"/>
          <w:color w:val="000000" w:themeColor="text1"/>
          <w:sz w:val="48"/>
          <w:szCs w:val="48"/>
        </w:rPr>
      </w:pPr>
      <w:r w:rsidRPr="00C747D0">
        <w:rPr>
          <w:rFonts w:ascii="標楷體" w:eastAsia="標楷體" w:hAnsi="標楷體" w:hint="eastAsia"/>
          <w:color w:val="000000" w:themeColor="text1"/>
          <w:sz w:val="48"/>
          <w:szCs w:val="48"/>
        </w:rPr>
        <w:lastRenderedPageBreak/>
        <w:t>Q1：企業是否賺錢?利潤好不好?</w:t>
      </w:r>
    </w:p>
    <w:p w:rsidR="00C747D0" w:rsidRDefault="00C747D0" w:rsidP="00C747D0"/>
    <w:p w:rsidR="00C747D0" w:rsidRDefault="00C747D0" w:rsidP="00C747D0"/>
    <w:tbl>
      <w:tblPr>
        <w:tblStyle w:val="-4"/>
        <w:tblW w:w="0" w:type="auto"/>
        <w:tblLook w:val="04A0" w:firstRow="1" w:lastRow="0" w:firstColumn="1" w:lastColumn="0" w:noHBand="0" w:noVBand="1"/>
      </w:tblPr>
      <w:tblGrid>
        <w:gridCol w:w="1679"/>
        <w:gridCol w:w="993"/>
        <w:gridCol w:w="993"/>
        <w:gridCol w:w="993"/>
        <w:gridCol w:w="993"/>
        <w:gridCol w:w="993"/>
        <w:gridCol w:w="993"/>
      </w:tblGrid>
      <w:tr w:rsidR="00C747D0" w:rsidTr="00E46D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</w:tcPr>
          <w:p w:rsidR="00C747D0" w:rsidRDefault="00C747D0" w:rsidP="00E46D67">
            <w:r>
              <w:rPr>
                <w:rFonts w:hint="eastAsia"/>
              </w:rPr>
              <w:t>年份</w:t>
            </w:r>
          </w:p>
        </w:tc>
        <w:tc>
          <w:tcPr>
            <w:tcW w:w="993" w:type="dxa"/>
          </w:tcPr>
          <w:p w:rsidR="00C747D0" w:rsidRDefault="00C747D0" w:rsidP="00E46D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103(</w:t>
            </w:r>
            <w:r>
              <w:rPr>
                <w:rFonts w:hint="eastAsia"/>
              </w:rPr>
              <w:t>第一季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</w:tcPr>
          <w:p w:rsidR="00C747D0" w:rsidRDefault="00C747D0" w:rsidP="00E46D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102</w:t>
            </w:r>
          </w:p>
        </w:tc>
        <w:tc>
          <w:tcPr>
            <w:tcW w:w="993" w:type="dxa"/>
          </w:tcPr>
          <w:p w:rsidR="00C747D0" w:rsidRDefault="00C747D0" w:rsidP="00E46D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101</w:t>
            </w:r>
          </w:p>
        </w:tc>
        <w:tc>
          <w:tcPr>
            <w:tcW w:w="993" w:type="dxa"/>
          </w:tcPr>
          <w:p w:rsidR="00C747D0" w:rsidRDefault="00C747D0" w:rsidP="00E46D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100</w:t>
            </w:r>
          </w:p>
        </w:tc>
        <w:tc>
          <w:tcPr>
            <w:tcW w:w="993" w:type="dxa"/>
          </w:tcPr>
          <w:p w:rsidR="00C747D0" w:rsidRDefault="00C747D0" w:rsidP="00E46D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99</w:t>
            </w:r>
          </w:p>
        </w:tc>
        <w:tc>
          <w:tcPr>
            <w:tcW w:w="993" w:type="dxa"/>
          </w:tcPr>
          <w:p w:rsidR="00C747D0" w:rsidRDefault="00C747D0" w:rsidP="00E46D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98</w:t>
            </w:r>
          </w:p>
        </w:tc>
      </w:tr>
      <w:tr w:rsidR="00C747D0" w:rsidTr="00E46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</w:tcPr>
          <w:p w:rsidR="00C747D0" w:rsidRDefault="00C747D0" w:rsidP="00E46D67">
            <w:r>
              <w:rPr>
                <w:rFonts w:hint="eastAsia"/>
              </w:rPr>
              <w:t>營收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百萬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</w:tcPr>
          <w:p w:rsidR="00C747D0" w:rsidRDefault="00C747D0" w:rsidP="00E46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215869</w:t>
            </w:r>
          </w:p>
        </w:tc>
        <w:tc>
          <w:tcPr>
            <w:tcW w:w="993" w:type="dxa"/>
          </w:tcPr>
          <w:p w:rsidR="00C747D0" w:rsidRDefault="00C747D0" w:rsidP="00E46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271564</w:t>
            </w:r>
          </w:p>
        </w:tc>
        <w:tc>
          <w:tcPr>
            <w:tcW w:w="993" w:type="dxa"/>
          </w:tcPr>
          <w:p w:rsidR="00C747D0" w:rsidRDefault="00C747D0" w:rsidP="00E46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258867</w:t>
            </w:r>
          </w:p>
        </w:tc>
        <w:tc>
          <w:tcPr>
            <w:tcW w:w="993" w:type="dxa"/>
          </w:tcPr>
          <w:p w:rsidR="00C747D0" w:rsidRDefault="00C747D0" w:rsidP="00E46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294646</w:t>
            </w:r>
          </w:p>
        </w:tc>
        <w:tc>
          <w:tcPr>
            <w:tcW w:w="993" w:type="dxa"/>
          </w:tcPr>
          <w:p w:rsidR="00C747D0" w:rsidRDefault="00C747D0" w:rsidP="00E46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282077</w:t>
            </w:r>
          </w:p>
        </w:tc>
        <w:tc>
          <w:tcPr>
            <w:tcW w:w="993" w:type="dxa"/>
          </w:tcPr>
          <w:p w:rsidR="00C747D0" w:rsidRDefault="00C747D0" w:rsidP="00E46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258294</w:t>
            </w:r>
          </w:p>
        </w:tc>
      </w:tr>
      <w:tr w:rsidR="00C747D0" w:rsidTr="00E46D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</w:tcPr>
          <w:p w:rsidR="00C747D0" w:rsidRDefault="00C747D0" w:rsidP="00E46D67">
            <w:r>
              <w:rPr>
                <w:rFonts w:hint="eastAsia"/>
              </w:rPr>
              <w:t>稅後純益率</w:t>
            </w:r>
          </w:p>
        </w:tc>
        <w:tc>
          <w:tcPr>
            <w:tcW w:w="993" w:type="dxa"/>
          </w:tcPr>
          <w:p w:rsidR="00C747D0" w:rsidRDefault="00C747D0" w:rsidP="00E46D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2.17%</w:t>
            </w:r>
          </w:p>
        </w:tc>
        <w:tc>
          <w:tcPr>
            <w:tcW w:w="993" w:type="dxa"/>
          </w:tcPr>
          <w:p w:rsidR="00C747D0" w:rsidRDefault="00C747D0" w:rsidP="00E46D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2.02%</w:t>
            </w:r>
          </w:p>
        </w:tc>
        <w:tc>
          <w:tcPr>
            <w:tcW w:w="993" w:type="dxa"/>
          </w:tcPr>
          <w:p w:rsidR="00C747D0" w:rsidRDefault="00C747D0" w:rsidP="00E46D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2.11%</w:t>
            </w:r>
          </w:p>
        </w:tc>
        <w:tc>
          <w:tcPr>
            <w:tcW w:w="993" w:type="dxa"/>
          </w:tcPr>
          <w:p w:rsidR="00C747D0" w:rsidRDefault="00C747D0" w:rsidP="00E46D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2.22%</w:t>
            </w:r>
          </w:p>
        </w:tc>
        <w:tc>
          <w:tcPr>
            <w:tcW w:w="993" w:type="dxa"/>
          </w:tcPr>
          <w:p w:rsidR="00C747D0" w:rsidRDefault="00C747D0" w:rsidP="00E46D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0.82%</w:t>
            </w:r>
          </w:p>
        </w:tc>
        <w:tc>
          <w:tcPr>
            <w:tcW w:w="993" w:type="dxa"/>
          </w:tcPr>
          <w:p w:rsidR="00C747D0" w:rsidRDefault="00C747D0" w:rsidP="00E46D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2.68%</w:t>
            </w:r>
          </w:p>
        </w:tc>
      </w:tr>
    </w:tbl>
    <w:p w:rsidR="00C747D0" w:rsidRPr="00FB0835" w:rsidRDefault="00C747D0" w:rsidP="00C747D0"/>
    <w:p w:rsidR="00C747D0" w:rsidRDefault="00C747D0" w:rsidP="00C747D0"/>
    <w:p w:rsidR="00C747D0" w:rsidRPr="00C747D0" w:rsidRDefault="00C747D0" w:rsidP="00C747D0">
      <w:pPr>
        <w:tabs>
          <w:tab w:val="left" w:pos="1215"/>
        </w:tabs>
        <w:rPr>
          <w:rFonts w:asciiTheme="minorEastAsia" w:hAnsiTheme="minorEastAsia"/>
        </w:rPr>
      </w:pPr>
      <w:r w:rsidRPr="00C747D0">
        <w:rPr>
          <w:rFonts w:asciiTheme="minorEastAsia" w:hAnsiTheme="minorEastAsia" w:hint="eastAsia"/>
        </w:rPr>
        <w:t>註:下列呈現廣達與同產業在103年第一季的稅後純益率比較圖</w:t>
      </w:r>
    </w:p>
    <w:p w:rsidR="00C747D0" w:rsidRDefault="00C747D0" w:rsidP="00C747D0">
      <w:pPr>
        <w:tabs>
          <w:tab w:val="left" w:pos="1215"/>
        </w:tabs>
      </w:pPr>
      <w:r>
        <w:rPr>
          <w:noProof/>
        </w:rPr>
        <w:drawing>
          <wp:inline distT="0" distB="0" distL="0" distR="0" wp14:anchorId="40C9FED9" wp14:editId="2042AD4A">
            <wp:extent cx="5274310" cy="3809224"/>
            <wp:effectExtent l="0" t="0" r="21590" b="20320"/>
            <wp:docPr id="1" name="圖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tab/>
      </w:r>
    </w:p>
    <w:p w:rsidR="00C747D0" w:rsidRPr="00C747D0" w:rsidRDefault="00C747D0" w:rsidP="00C747D0">
      <w:pPr>
        <w:tabs>
          <w:tab w:val="left" w:pos="1215"/>
        </w:tabs>
        <w:rPr>
          <w:sz w:val="28"/>
          <w:szCs w:val="28"/>
        </w:rPr>
      </w:pPr>
      <w:r w:rsidRPr="00C747D0">
        <w:rPr>
          <w:rFonts w:hint="eastAsia"/>
          <w:sz w:val="28"/>
          <w:szCs w:val="28"/>
        </w:rPr>
        <w:t>答</w:t>
      </w:r>
      <w:r w:rsidRPr="00C747D0">
        <w:rPr>
          <w:rFonts w:hint="eastAsia"/>
          <w:sz w:val="28"/>
          <w:szCs w:val="28"/>
        </w:rPr>
        <w:t xml:space="preserve">:    </w:t>
      </w:r>
    </w:p>
    <w:p w:rsidR="00C747D0" w:rsidRPr="00C747D0" w:rsidRDefault="00C747D0" w:rsidP="00C747D0">
      <w:pPr>
        <w:tabs>
          <w:tab w:val="left" w:pos="1215"/>
        </w:tabs>
        <w:rPr>
          <w:sz w:val="28"/>
          <w:szCs w:val="28"/>
        </w:rPr>
      </w:pPr>
      <w:r w:rsidRPr="00C747D0">
        <w:rPr>
          <w:rFonts w:hint="eastAsia"/>
          <w:sz w:val="28"/>
          <w:szCs w:val="28"/>
        </w:rPr>
        <w:t>廣達在同期同產業的稅後純益率比較圖中，顯示出他的利潤在同業中位居中間，至於會不會賺錢要再參考其他位面資訊，才能做評斷。</w:t>
      </w:r>
    </w:p>
    <w:p w:rsidR="00C747D0" w:rsidRPr="00C747D0" w:rsidRDefault="00C747D0" w:rsidP="00C747D0">
      <w:pPr>
        <w:rPr>
          <w:rFonts w:ascii="Calibri" w:eastAsia="新細明體" w:hAnsi="Calibri" w:cs="Times New Roman"/>
          <w:sz w:val="48"/>
          <w:szCs w:val="48"/>
        </w:rPr>
      </w:pPr>
      <w:r w:rsidRPr="00C747D0">
        <w:rPr>
          <w:rFonts w:ascii="Calibri" w:eastAsia="新細明體" w:hAnsi="Calibri" w:cs="Times New Roman" w:hint="eastAsia"/>
          <w:sz w:val="48"/>
          <w:szCs w:val="48"/>
        </w:rPr>
        <w:lastRenderedPageBreak/>
        <w:t>2.</w:t>
      </w:r>
      <w:r w:rsidRPr="00C747D0">
        <w:rPr>
          <w:rFonts w:ascii="Calibri" w:eastAsia="新細明體" w:hAnsi="Calibri" w:cs="Times New Roman" w:hint="eastAsia"/>
          <w:sz w:val="48"/>
          <w:szCs w:val="48"/>
        </w:rPr>
        <w:t>與去年比</w:t>
      </w:r>
      <w:r w:rsidRPr="00C747D0">
        <w:rPr>
          <w:rFonts w:ascii="Calibri" w:eastAsia="新細明體" w:hAnsi="Calibri" w:cs="Times New Roman" w:hint="eastAsia"/>
          <w:sz w:val="48"/>
          <w:szCs w:val="48"/>
        </w:rPr>
        <w:t>,</w:t>
      </w:r>
      <w:r w:rsidRPr="00C747D0">
        <w:rPr>
          <w:rFonts w:ascii="Calibri" w:eastAsia="新細明體" w:hAnsi="Calibri" w:cs="Times New Roman" w:hint="eastAsia"/>
          <w:sz w:val="48"/>
          <w:szCs w:val="48"/>
        </w:rPr>
        <w:t>盈餘是上升還是下降</w:t>
      </w:r>
      <w:r w:rsidRPr="00C747D0">
        <w:rPr>
          <w:rFonts w:ascii="Calibri" w:eastAsia="新細明體" w:hAnsi="Calibri" w:cs="Times New Roman" w:hint="eastAsia"/>
          <w:sz w:val="48"/>
          <w:szCs w:val="48"/>
        </w:rPr>
        <w:t>?</w:t>
      </w:r>
    </w:p>
    <w:p w:rsidR="00D330B0" w:rsidRPr="00D330B0" w:rsidRDefault="00D330B0" w:rsidP="00C747D0">
      <w:pPr>
        <w:rPr>
          <w:rFonts w:asciiTheme="minorEastAsia" w:hAnsiTheme="minorEastAsia" w:cs="Times New Roman"/>
          <w:sz w:val="28"/>
          <w:szCs w:val="28"/>
        </w:rPr>
      </w:pPr>
      <w:r w:rsidRPr="00D330B0">
        <w:rPr>
          <w:rFonts w:asciiTheme="minorEastAsia" w:hAnsiTheme="minorEastAsia" w:cs="Times New Roman" w:hint="eastAsia"/>
          <w:sz w:val="28"/>
          <w:szCs w:val="28"/>
        </w:rPr>
        <w:t>答</w:t>
      </w:r>
      <w:r w:rsidR="00C747D0" w:rsidRPr="00C747D0">
        <w:rPr>
          <w:rFonts w:asciiTheme="minorEastAsia" w:hAnsiTheme="minorEastAsia" w:cs="Times New Roman" w:hint="eastAsia"/>
          <w:sz w:val="28"/>
          <w:szCs w:val="28"/>
        </w:rPr>
        <w:t>:</w:t>
      </w:r>
    </w:p>
    <w:p w:rsidR="00C747D0" w:rsidRPr="00C747D0" w:rsidRDefault="00C747D0" w:rsidP="00C747D0">
      <w:pPr>
        <w:rPr>
          <w:rFonts w:asciiTheme="minorEastAsia" w:hAnsiTheme="minorEastAsia" w:cs="Times New Roman"/>
          <w:sz w:val="28"/>
          <w:szCs w:val="28"/>
        </w:rPr>
      </w:pPr>
      <w:r w:rsidRPr="00C747D0">
        <w:rPr>
          <w:rFonts w:asciiTheme="minorEastAsia" w:hAnsiTheme="minorEastAsia" w:cs="Times New Roman" w:hint="eastAsia"/>
          <w:sz w:val="28"/>
          <w:szCs w:val="28"/>
        </w:rPr>
        <w:t>根據圖片顯示</w:t>
      </w:r>
      <w:r w:rsidR="00D330B0" w:rsidRPr="00D330B0">
        <w:rPr>
          <w:rFonts w:asciiTheme="minorEastAsia" w:hAnsiTheme="minorEastAsia" w:cs="Times New Roman" w:hint="eastAsia"/>
          <w:sz w:val="28"/>
          <w:szCs w:val="28"/>
        </w:rPr>
        <w:t>,</w:t>
      </w:r>
      <w:r w:rsidRPr="00C747D0">
        <w:rPr>
          <w:rFonts w:asciiTheme="minorEastAsia" w:hAnsiTheme="minorEastAsia" w:cs="Times New Roman" w:hint="eastAsia"/>
          <w:sz w:val="28"/>
          <w:szCs w:val="28"/>
        </w:rPr>
        <w:t>用去年102第一季與今年103第一季比較</w:t>
      </w:r>
      <w:r w:rsidR="00D330B0" w:rsidRPr="00D330B0">
        <w:rPr>
          <w:rFonts w:asciiTheme="minorEastAsia" w:hAnsiTheme="minorEastAsia" w:cs="Times New Roman" w:hint="eastAsia"/>
          <w:sz w:val="28"/>
          <w:szCs w:val="28"/>
        </w:rPr>
        <w:t>，</w:t>
      </w:r>
      <w:r w:rsidRPr="00C747D0">
        <w:rPr>
          <w:rFonts w:asciiTheme="minorEastAsia" w:hAnsiTheme="minorEastAsia" w:cs="Times New Roman" w:hint="eastAsia"/>
          <w:sz w:val="28"/>
          <w:szCs w:val="28"/>
        </w:rPr>
        <w:t>去年102年每股盈餘為4.84元減掉去年102年2,3,4季等於去年每股盈餘第一季為1.15元(算式:4.84-1.05-1.21-1.43=1.15)</w:t>
      </w:r>
      <w:r w:rsidR="00D330B0" w:rsidRPr="00D330B0">
        <w:rPr>
          <w:rFonts w:asciiTheme="minorEastAsia" w:hAnsiTheme="minorEastAsia" w:cs="Times New Roman" w:hint="eastAsia"/>
          <w:sz w:val="28"/>
          <w:szCs w:val="28"/>
        </w:rPr>
        <w:t>，</w:t>
      </w:r>
      <w:r w:rsidRPr="00C747D0">
        <w:rPr>
          <w:rFonts w:asciiTheme="minorEastAsia" w:hAnsiTheme="minorEastAsia" w:cs="Times New Roman" w:hint="eastAsia"/>
          <w:sz w:val="28"/>
          <w:szCs w:val="28"/>
        </w:rPr>
        <w:t>所以去年102第一季為1.15元與103年第一季1.21元相比,每股盈餘為上升</w:t>
      </w:r>
      <w:r w:rsidR="00D330B0" w:rsidRPr="00D330B0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C747D0" w:rsidRPr="00C747D0" w:rsidRDefault="00C747D0" w:rsidP="00C747D0">
      <w:pPr>
        <w:rPr>
          <w:rFonts w:ascii="Calibri" w:eastAsia="新細明體" w:hAnsi="Calibri" w:cs="Times New Roman"/>
        </w:rPr>
      </w:pPr>
      <w:r w:rsidRPr="00C747D0">
        <w:rPr>
          <w:rFonts w:ascii="Calibri" w:eastAsia="新細明體" w:hAnsi="Calibri" w:cs="Times New Roman"/>
          <w:noProof/>
        </w:rPr>
        <w:drawing>
          <wp:inline distT="0" distB="0" distL="0" distR="0" wp14:anchorId="4AA3253D" wp14:editId="6FD87A03">
            <wp:extent cx="5274310" cy="1837055"/>
            <wp:effectExtent l="19050" t="0" r="2540" b="0"/>
            <wp:docPr id="2" name="圖片 0" descr="共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共金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7D0" w:rsidRPr="00C747D0" w:rsidRDefault="00C747D0" w:rsidP="00C747D0">
      <w:pPr>
        <w:rPr>
          <w:rFonts w:ascii="Calibri" w:eastAsia="新細明體" w:hAnsi="Calibri" w:cs="Times New Roman"/>
        </w:rPr>
      </w:pPr>
      <w:r w:rsidRPr="00C747D0">
        <w:rPr>
          <w:rFonts w:ascii="Calibri" w:eastAsia="新細明體" w:hAnsi="Calibri" w:cs="Times New Roman" w:hint="eastAsia"/>
        </w:rPr>
        <w:t>圖片來源</w:t>
      </w:r>
      <w:r w:rsidRPr="00C747D0">
        <w:rPr>
          <w:rFonts w:ascii="Calibri" w:eastAsia="新細明體" w:hAnsi="Calibri" w:cs="Times New Roman" w:hint="eastAsia"/>
        </w:rPr>
        <w:t>:</w:t>
      </w:r>
      <w:r w:rsidRPr="00C747D0">
        <w:rPr>
          <w:rFonts w:ascii="Calibri" w:eastAsia="新細明體" w:hAnsi="Calibri" w:cs="Times New Roman"/>
        </w:rPr>
        <w:t xml:space="preserve"> https://tw.stock.yahoo.com/d/s/company_2382.html</w:t>
      </w:r>
    </w:p>
    <w:p w:rsidR="00E4459F" w:rsidRPr="00C747D0" w:rsidRDefault="00DD3949">
      <w:pPr>
        <w:rPr>
          <w:sz w:val="28"/>
          <w:szCs w:val="28"/>
        </w:rPr>
      </w:pPr>
    </w:p>
    <w:p w:rsidR="00D330B0" w:rsidRDefault="00D330B0" w:rsidP="00D330B0">
      <w:pPr>
        <w:widowControl/>
        <w:spacing w:before="100" w:beforeAutospacing="1" w:after="100" w:afterAutospacing="1" w:line="270" w:lineRule="atLeast"/>
        <w:jc w:val="center"/>
        <w:rPr>
          <w:rFonts w:ascii="標楷體" w:eastAsia="標楷體" w:hAnsi="標楷體" w:cs="新細明體"/>
          <w:color w:val="000000"/>
          <w:kern w:val="0"/>
          <w:sz w:val="48"/>
          <w:szCs w:val="48"/>
        </w:rPr>
      </w:pPr>
      <w:r w:rsidRPr="00D330B0">
        <w:rPr>
          <w:rFonts w:ascii="標楷體" w:eastAsia="標楷體" w:hAnsi="標楷體" w:cs="新細明體" w:hint="eastAsia"/>
          <w:color w:val="000000"/>
          <w:kern w:val="0"/>
          <w:sz w:val="48"/>
          <w:szCs w:val="48"/>
        </w:rPr>
        <w:t>3.廣達-靠本業支撐還是業外支撐</w:t>
      </w:r>
    </w:p>
    <w:p w:rsidR="00D330B0" w:rsidRPr="00D330B0" w:rsidRDefault="00D330B0" w:rsidP="00D330B0">
      <w:pPr>
        <w:widowControl/>
        <w:spacing w:before="100" w:beforeAutospacing="1" w:after="100" w:afterAutospacing="1" w:line="270" w:lineRule="atLeast"/>
        <w:rPr>
          <w:rFonts w:asciiTheme="minorEastAsia" w:hAnsiTheme="minorEastAsia" w:cs="新細明體"/>
          <w:color w:val="000000"/>
          <w:kern w:val="0"/>
          <w:szCs w:val="24"/>
        </w:rPr>
      </w:pPr>
      <w:r w:rsidRPr="00D330B0">
        <w:rPr>
          <w:rFonts w:asciiTheme="minorEastAsia" w:hAnsiTheme="minorEastAsia" w:cs="新細明體" w:hint="eastAsia"/>
          <w:color w:val="000000"/>
          <w:kern w:val="0"/>
          <w:szCs w:val="24"/>
        </w:rPr>
        <w:t>針對廣達第二季財報當中，業外收益（Non-Op income）達到淨利的67%，感到憂心，比起去年同期的54%、前年同期的46%，業外收益比重持續上升，但本業毛利率卻未能成長，給國際投資人「靠業外」的印象</w:t>
      </w:r>
    </w:p>
    <w:p w:rsidR="00D330B0" w:rsidRPr="00D330B0" w:rsidRDefault="00D330B0" w:rsidP="00D330B0">
      <w:pPr>
        <w:widowControl/>
        <w:spacing w:before="100" w:beforeAutospacing="1" w:after="100" w:afterAutospacing="1" w:line="270" w:lineRule="atLeast"/>
        <w:rPr>
          <w:rFonts w:asciiTheme="minorEastAsia" w:hAnsiTheme="minorEastAsia" w:cs="新細明體"/>
          <w:color w:val="000000"/>
          <w:kern w:val="0"/>
          <w:szCs w:val="24"/>
        </w:rPr>
      </w:pPr>
      <w:r w:rsidRPr="00D330B0">
        <w:rPr>
          <w:rFonts w:asciiTheme="minorEastAsia" w:hAnsiTheme="minorEastAsia" w:cs="新細明體" w:hint="eastAsia"/>
          <w:color w:val="000000"/>
          <w:kern w:val="0"/>
          <w:szCs w:val="24"/>
        </w:rPr>
        <w:t>廣達業外收益主要分三塊，分別是NRE、匯兌收益、高利息所得金融商品。</w:t>
      </w:r>
    </w:p>
    <w:p w:rsidR="00D330B0" w:rsidRPr="00D330B0" w:rsidRDefault="00D330B0" w:rsidP="00D330B0">
      <w:pPr>
        <w:widowControl/>
        <w:spacing w:after="225" w:line="456" w:lineRule="atLeast"/>
        <w:rPr>
          <w:rFonts w:asciiTheme="minorEastAsia" w:hAnsiTheme="minorEastAsia" w:cs="新細明體"/>
          <w:color w:val="000000"/>
          <w:spacing w:val="-12"/>
          <w:kern w:val="0"/>
          <w:szCs w:val="24"/>
        </w:rPr>
      </w:pPr>
      <w:r w:rsidRPr="00D330B0">
        <w:rPr>
          <w:rFonts w:asciiTheme="minorEastAsia" w:hAnsiTheme="minorEastAsia" w:cs="新細明體" w:hint="eastAsia"/>
          <w:color w:val="000000"/>
          <w:spacing w:val="-12"/>
          <w:kern w:val="0"/>
          <w:szCs w:val="24"/>
        </w:rPr>
        <w:t>以廣達財報來看，去年賺242億，其中本業佔130億，利息和匯兌損益就佔100億，財務操作佔獲利比重高達41%，換句話說，數十人的財務部門，賺得錢和7萬名工程師加員工不相上下，還有份外資報告，就說廣達是「銀行」，不是科技廠。</w:t>
      </w:r>
    </w:p>
    <w:p w:rsidR="00D330B0" w:rsidRPr="00D330B0" w:rsidRDefault="00D330B0" w:rsidP="00D330B0">
      <w:pPr>
        <w:widowControl/>
        <w:spacing w:after="225" w:line="456" w:lineRule="atLeast"/>
        <w:rPr>
          <w:rFonts w:asciiTheme="minorEastAsia" w:hAnsiTheme="minorEastAsia" w:cs="新細明體"/>
          <w:color w:val="000000"/>
          <w:spacing w:val="-12"/>
          <w:kern w:val="0"/>
          <w:szCs w:val="24"/>
        </w:rPr>
      </w:pPr>
      <w:r w:rsidRPr="00D330B0">
        <w:rPr>
          <w:rFonts w:asciiTheme="minorEastAsia" w:hAnsiTheme="minorEastAsia" w:cs="新細明體" w:hint="eastAsia"/>
          <w:color w:val="000000"/>
          <w:spacing w:val="-12"/>
          <w:kern w:val="0"/>
          <w:szCs w:val="24"/>
        </w:rPr>
        <w:lastRenderedPageBreak/>
        <w:t>針對週刊報導，廣達不予評論，但強調公司沒有做買美元賣人民幣套利模式，沒買賣衍生性金融商品，財務操作保守，專家建議，投資人看財報時，一定要留意公司賺得錢，到底是「本業」還是「業外」。</w:t>
      </w:r>
    </w:p>
    <w:p w:rsidR="00D330B0" w:rsidRPr="00D330B0" w:rsidRDefault="00D330B0" w:rsidP="00D330B0">
      <w:pPr>
        <w:widowControl/>
        <w:spacing w:after="225" w:line="456" w:lineRule="atLeast"/>
        <w:rPr>
          <w:rFonts w:asciiTheme="minorEastAsia" w:hAnsiTheme="minorEastAsia" w:cs="新細明體"/>
          <w:color w:val="000000"/>
          <w:spacing w:val="-12"/>
          <w:kern w:val="0"/>
          <w:szCs w:val="24"/>
        </w:rPr>
      </w:pPr>
      <w:r w:rsidRPr="00D330B0">
        <w:rPr>
          <w:rFonts w:asciiTheme="minorEastAsia" w:hAnsiTheme="minorEastAsia" w:cs="新細明體" w:hint="eastAsia"/>
          <w:color w:val="000000"/>
          <w:spacing w:val="-12"/>
          <w:kern w:val="0"/>
          <w:szCs w:val="24"/>
        </w:rPr>
        <w:t>政治大學會計學教授周玲臺：「鼓勵投資人對他所投資比較多的對象，其實不能夠只看簡易的財務報表，而是要進到整份會計師簽證的財務報表，跟後面的所謂的『附註揭露』部分，匯率的損益、利息的損益，其實是在財務報表的附註6，有所謂的重大會計事項。」</w:t>
      </w:r>
    </w:p>
    <w:p w:rsidR="00D330B0" w:rsidRPr="00D330B0" w:rsidRDefault="00D330B0" w:rsidP="00D330B0">
      <w:pPr>
        <w:widowControl/>
        <w:spacing w:after="225" w:line="456" w:lineRule="atLeast"/>
        <w:rPr>
          <w:rFonts w:asciiTheme="minorEastAsia" w:hAnsiTheme="minorEastAsia" w:cs="新細明體"/>
          <w:color w:val="000000"/>
          <w:spacing w:val="-12"/>
          <w:kern w:val="0"/>
          <w:szCs w:val="24"/>
        </w:rPr>
      </w:pPr>
      <w:r w:rsidRPr="00D330B0">
        <w:rPr>
          <w:rFonts w:asciiTheme="minorEastAsia" w:hAnsiTheme="minorEastAsia" w:cs="新細明體" w:hint="eastAsia"/>
          <w:color w:val="000000"/>
          <w:spacing w:val="-12"/>
          <w:kern w:val="0"/>
          <w:szCs w:val="24"/>
        </w:rPr>
        <w:t>專家認為，財務長做的就是風險控管，想辦法達到財務預測目標，看到套利有錢賺就去做，本就是財務長職責並沒有錯，不做才對不起公司和股東，只不過當財務長「投資」賺得錢，比工程師研發產品來的多很多時，或許就像外資報告講的，科技廠乾脆改開銀行做金融業，就別搞電子業了。</w:t>
      </w:r>
    </w:p>
    <w:p w:rsidR="00D330B0" w:rsidRPr="00D330B0" w:rsidRDefault="00D330B0" w:rsidP="00D330B0">
      <w:pPr>
        <w:widowControl/>
        <w:spacing w:before="100" w:beforeAutospacing="1" w:after="100" w:afterAutospacing="1" w:line="270" w:lineRule="atLeast"/>
        <w:jc w:val="center"/>
        <w:rPr>
          <w:rFonts w:asciiTheme="minorEastAsia" w:hAnsiTheme="minorEastAsia" w:cs="新細明體"/>
          <w:color w:val="000000"/>
          <w:kern w:val="0"/>
          <w:sz w:val="28"/>
          <w:szCs w:val="28"/>
        </w:rPr>
      </w:pPr>
    </w:p>
    <w:p w:rsidR="00D330B0" w:rsidRPr="00D330B0" w:rsidRDefault="00D330B0" w:rsidP="00D330B0">
      <w:pPr>
        <w:widowControl/>
        <w:spacing w:before="100" w:beforeAutospacing="1" w:after="100" w:afterAutospacing="1" w:line="270" w:lineRule="atLeast"/>
        <w:jc w:val="center"/>
        <w:rPr>
          <w:rFonts w:ascii="細明體" w:eastAsia="細明體" w:hAnsi="細明體" w:cs="新細明體"/>
          <w:color w:val="000000"/>
          <w:kern w:val="0"/>
          <w:sz w:val="18"/>
          <w:szCs w:val="18"/>
        </w:rPr>
      </w:pPr>
      <w:r w:rsidRPr="00D330B0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 wp14:anchorId="484CCF08" wp14:editId="45AF515A">
            <wp:extent cx="4286250" cy="3819525"/>
            <wp:effectExtent l="0" t="0" r="0" b="9525"/>
            <wp:docPr id="3" name="圖片 3" descr="http://money.udn.com/magimages/47/PROJ_ARTICLE/405_3913/f_273742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ney.udn.com/magimages/47/PROJ_ARTICLE/405_3913/f_273742_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B0" w:rsidRPr="00D330B0" w:rsidRDefault="00D330B0" w:rsidP="00D330B0">
      <w:pPr>
        <w:widowControl/>
        <w:spacing w:after="225" w:line="456" w:lineRule="atLeast"/>
        <w:rPr>
          <w:rFonts w:asciiTheme="minorEastAsia" w:hAnsiTheme="minorEastAsia" w:cs="新細明體"/>
          <w:color w:val="000000"/>
          <w:spacing w:val="-12"/>
          <w:kern w:val="0"/>
          <w:sz w:val="28"/>
          <w:szCs w:val="28"/>
        </w:rPr>
      </w:pPr>
      <w:r w:rsidRPr="00D330B0">
        <w:rPr>
          <w:rFonts w:asciiTheme="minorEastAsia" w:hAnsiTheme="minorEastAsia" w:cs="新細明體" w:hint="eastAsia"/>
          <w:color w:val="000000"/>
          <w:spacing w:val="-12"/>
          <w:kern w:val="0"/>
          <w:sz w:val="28"/>
          <w:szCs w:val="28"/>
        </w:rPr>
        <w:t>答：廣達很可能是大部分靠除了本業的金融槓桿支撐,也就是</w:t>
      </w:r>
      <w:r w:rsidRPr="00D330B0">
        <w:rPr>
          <w:rFonts w:asciiTheme="minorEastAsia" w:hAnsiTheme="minorEastAsia" w:cs="新細明體"/>
          <w:color w:val="000000"/>
          <w:spacing w:val="-12"/>
          <w:kern w:val="0"/>
          <w:sz w:val="28"/>
          <w:szCs w:val="28"/>
        </w:rPr>
        <w:t>”</w:t>
      </w:r>
      <w:r w:rsidRPr="00D330B0">
        <w:rPr>
          <w:rFonts w:asciiTheme="minorEastAsia" w:hAnsiTheme="minorEastAsia" w:cs="新細明體" w:hint="eastAsia"/>
          <w:color w:val="000000"/>
          <w:spacing w:val="-12"/>
          <w:kern w:val="0"/>
          <w:sz w:val="28"/>
          <w:szCs w:val="28"/>
        </w:rPr>
        <w:t>業外</w:t>
      </w:r>
      <w:r w:rsidRPr="00D330B0">
        <w:rPr>
          <w:rFonts w:asciiTheme="minorEastAsia" w:hAnsiTheme="minorEastAsia" w:cs="新細明體"/>
          <w:color w:val="000000"/>
          <w:spacing w:val="-12"/>
          <w:kern w:val="0"/>
          <w:sz w:val="28"/>
          <w:szCs w:val="28"/>
        </w:rPr>
        <w:t>”</w:t>
      </w:r>
      <w:r>
        <w:rPr>
          <w:rFonts w:asciiTheme="minorEastAsia" w:hAnsiTheme="minorEastAsia" w:cs="新細明體" w:hint="eastAsia"/>
          <w:color w:val="000000"/>
          <w:spacing w:val="-12"/>
          <w:kern w:val="0"/>
          <w:sz w:val="28"/>
          <w:szCs w:val="28"/>
        </w:rPr>
        <w:t>。</w:t>
      </w:r>
    </w:p>
    <w:p w:rsidR="00D330B0" w:rsidRPr="00D330B0" w:rsidRDefault="00D330B0" w:rsidP="00D330B0">
      <w:pPr>
        <w:widowControl/>
        <w:shd w:val="clear" w:color="auto" w:fill="FFFFFF"/>
        <w:outlineLvl w:val="0"/>
        <w:rPr>
          <w:rFonts w:ascii="Arial" w:eastAsia="新細明體" w:hAnsi="Arial" w:cs="Arial"/>
          <w:b/>
          <w:bCs/>
          <w:kern w:val="36"/>
          <w:sz w:val="48"/>
          <w:szCs w:val="48"/>
        </w:rPr>
      </w:pPr>
      <w:r w:rsidRPr="00D330B0">
        <w:rPr>
          <w:rFonts w:ascii="Arial" w:eastAsia="新細明體" w:hAnsi="Arial" w:cs="Arial"/>
          <w:b/>
          <w:bCs/>
          <w:kern w:val="36"/>
          <w:sz w:val="48"/>
          <w:szCs w:val="48"/>
        </w:rPr>
        <w:lastRenderedPageBreak/>
        <w:t>４．產品的競爭力如何？</w:t>
      </w:r>
    </w:p>
    <w:p w:rsidR="00D330B0" w:rsidRPr="00894574" w:rsidRDefault="00D330B0" w:rsidP="00D330B0">
      <w:pPr>
        <w:widowControl/>
        <w:shd w:val="clear" w:color="auto" w:fill="FFFFFF"/>
        <w:spacing w:line="384" w:lineRule="atLeast"/>
        <w:rPr>
          <w:rFonts w:ascii="Arial" w:eastAsia="新細明體" w:hAnsi="Arial" w:cs="Arial"/>
          <w:color w:val="333333"/>
          <w:kern w:val="0"/>
          <w:szCs w:val="24"/>
        </w:rPr>
      </w:pPr>
      <w:r w:rsidRPr="00894574">
        <w:rPr>
          <w:rFonts w:ascii="MS Gothic" w:eastAsia="MS Gothic" w:hAnsi="MS Gothic" w:cs="MS Gothic" w:hint="eastAsia"/>
          <w:color w:val="333333"/>
          <w:kern w:val="0"/>
          <w:sz w:val="30"/>
          <w:szCs w:val="30"/>
        </w:rPr>
        <w:t>►►</w:t>
      </w:r>
      <w:r w:rsidRPr="00894574">
        <w:rPr>
          <w:rFonts w:ascii="Arial" w:eastAsia="新細明體" w:hAnsi="Arial" w:cs="Arial"/>
          <w:b/>
          <w:bCs/>
          <w:color w:val="333333"/>
          <w:kern w:val="0"/>
          <w:sz w:val="27"/>
          <w:szCs w:val="27"/>
        </w:rPr>
        <w:t>毛利率要大於產業中位數</w:t>
      </w:r>
    </w:p>
    <w:p w:rsidR="00D330B0" w:rsidRPr="00894574" w:rsidRDefault="00D330B0" w:rsidP="00D330B0">
      <w:pPr>
        <w:widowControl/>
        <w:shd w:val="clear" w:color="auto" w:fill="FFFFFF"/>
        <w:spacing w:line="384" w:lineRule="atLeast"/>
        <w:rPr>
          <w:rFonts w:ascii="Arial" w:eastAsia="新細明體" w:hAnsi="Arial" w:cs="Arial"/>
          <w:color w:val="333333"/>
          <w:kern w:val="0"/>
          <w:szCs w:val="24"/>
        </w:rPr>
      </w:pPr>
      <w:r w:rsidRPr="00894574">
        <w:rPr>
          <w:rFonts w:ascii="Arial" w:eastAsia="新細明體" w:hAnsi="Arial" w:cs="Arial"/>
          <w:color w:val="333333"/>
          <w:kern w:val="0"/>
          <w:szCs w:val="24"/>
        </w:rPr>
        <w:t>毛利率微微下滑但止穩。</w:t>
      </w:r>
    </w:p>
    <w:p w:rsidR="00D330B0" w:rsidRDefault="00D330B0" w:rsidP="00D330B0">
      <w:pPr>
        <w:jc w:val="both"/>
      </w:pPr>
    </w:p>
    <w:p w:rsidR="00D330B0" w:rsidRPr="00D330B0" w:rsidRDefault="00D330B0" w:rsidP="00D330B0">
      <w:pPr>
        <w:jc w:val="both"/>
        <w:rPr>
          <w:rFonts w:asciiTheme="minorEastAsia" w:hAnsiTheme="minorEastAsia"/>
        </w:rPr>
      </w:pPr>
      <w:r w:rsidRPr="00D330B0">
        <w:rPr>
          <w:rFonts w:asciiTheme="minorEastAsia" w:hAnsiTheme="minorEastAsia"/>
          <w:noProof/>
        </w:rPr>
        <w:drawing>
          <wp:inline distT="0" distB="0" distL="0" distR="0" wp14:anchorId="3C89D8D7" wp14:editId="0F507F9C">
            <wp:extent cx="2800350" cy="23050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0B0" w:rsidRPr="00D330B0" w:rsidRDefault="00D330B0" w:rsidP="00D330B0">
      <w:pPr>
        <w:jc w:val="both"/>
        <w:rPr>
          <w:rFonts w:asciiTheme="minorEastAsia" w:hAnsiTheme="minorEastAsia"/>
          <w:sz w:val="28"/>
          <w:szCs w:val="28"/>
        </w:rPr>
      </w:pPr>
      <w:r w:rsidRPr="00D330B0">
        <w:rPr>
          <w:rFonts w:asciiTheme="minorEastAsia" w:hAnsiTheme="minorEastAsia" w:hint="eastAsia"/>
          <w:sz w:val="28"/>
          <w:szCs w:val="28"/>
        </w:rPr>
        <w:t xml:space="preserve">答:  </w:t>
      </w:r>
    </w:p>
    <w:p w:rsidR="00D330B0" w:rsidRDefault="00D330B0" w:rsidP="00D330B0">
      <w:pPr>
        <w:jc w:val="both"/>
        <w:rPr>
          <w:rFonts w:asciiTheme="minorEastAsia" w:hAnsiTheme="minorEastAsia"/>
          <w:sz w:val="28"/>
          <w:szCs w:val="28"/>
        </w:rPr>
      </w:pPr>
      <w:r w:rsidRPr="00D330B0">
        <w:rPr>
          <w:rFonts w:asciiTheme="minorEastAsia" w:hAnsiTheme="minorEastAsia" w:hint="eastAsia"/>
          <w:sz w:val="28"/>
          <w:szCs w:val="28"/>
        </w:rPr>
        <w:t>透過</w:t>
      </w:r>
      <w:r w:rsidRPr="00D330B0">
        <w:rPr>
          <w:rFonts w:asciiTheme="minorEastAsia" w:hAnsiTheme="minorEastAsia" w:hint="eastAsia"/>
          <w:b/>
          <w:color w:val="1F497D" w:themeColor="text2"/>
          <w:sz w:val="28"/>
          <w:szCs w:val="28"/>
          <w:u w:val="single"/>
        </w:rPr>
        <w:t>毛利率</w:t>
      </w:r>
      <w:r w:rsidRPr="00D330B0">
        <w:rPr>
          <w:rFonts w:asciiTheme="minorEastAsia" w:hAnsiTheme="minorEastAsia" w:hint="eastAsia"/>
          <w:sz w:val="28"/>
          <w:szCs w:val="28"/>
        </w:rPr>
        <w:t>判斷產品是否具有競爭力，毛利率越高表示產品的附加價值越高競爭力也越強。</w:t>
      </w:r>
    </w:p>
    <w:p w:rsidR="00D330B0" w:rsidRPr="00D330B0" w:rsidRDefault="00D330B0" w:rsidP="00D330B0">
      <w:pPr>
        <w:jc w:val="both"/>
        <w:rPr>
          <w:rFonts w:asciiTheme="minorEastAsia" w:hAnsiTheme="minorEastAsia"/>
          <w:sz w:val="28"/>
          <w:szCs w:val="28"/>
        </w:rPr>
      </w:pPr>
    </w:p>
    <w:p w:rsidR="00D330B0" w:rsidRDefault="00D330B0" w:rsidP="00D330B0">
      <w:pPr>
        <w:rPr>
          <w:rFonts w:ascii="標楷體" w:eastAsia="標楷體" w:hAnsi="標楷體"/>
          <w:sz w:val="48"/>
          <w:szCs w:val="48"/>
        </w:rPr>
      </w:pPr>
      <w:r w:rsidRPr="00D330B0">
        <w:rPr>
          <w:rFonts w:ascii="標楷體" w:eastAsia="標楷體" w:hAnsi="標楷體" w:hint="eastAsia"/>
          <w:sz w:val="48"/>
          <w:szCs w:val="48"/>
        </w:rPr>
        <w:t>5.企業獲利的現金流，都到哪裡去了？</w:t>
      </w:r>
    </w:p>
    <w:p w:rsidR="007853A3" w:rsidRDefault="007853A3" w:rsidP="00D330B0">
      <w:pPr>
        <w:rPr>
          <w:rFonts w:ascii="標楷體" w:eastAsia="標楷體" w:hAnsi="標楷體"/>
          <w:sz w:val="48"/>
          <w:szCs w:val="48"/>
        </w:rPr>
      </w:pPr>
    </w:p>
    <w:p w:rsidR="00B923CB" w:rsidRPr="007853A3" w:rsidRDefault="00B923CB" w:rsidP="00D330B0">
      <w:pPr>
        <w:rPr>
          <w:rFonts w:asciiTheme="minorEastAsia" w:hAnsiTheme="minorEastAsia"/>
          <w:sz w:val="28"/>
          <w:szCs w:val="28"/>
        </w:rPr>
      </w:pPr>
      <w:r w:rsidRPr="007853A3">
        <w:rPr>
          <w:rFonts w:asciiTheme="minorEastAsia" w:hAnsiTheme="minorEastAsia" w:hint="eastAsia"/>
          <w:sz w:val="28"/>
          <w:szCs w:val="28"/>
        </w:rPr>
        <w:t>從這六年的數據來看，投資活動的現金流量在９７年度開始成負值，直到１００年度投資活動的現金流量才開始回升，營業活動和合併總損益都為正數，表示公司還是賺錢，但還須注意</w:t>
      </w:r>
    </w:p>
    <w:p w:rsidR="00D330B0" w:rsidRPr="00D330B0" w:rsidRDefault="00D330B0" w:rsidP="00D330B0">
      <w:pPr>
        <w:rPr>
          <w:rFonts w:ascii="標楷體" w:eastAsia="標楷體" w:hAnsi="標楷體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FE11D8F" wp14:editId="1A37B105">
            <wp:extent cx="5274310" cy="3433445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0B0" w:rsidRDefault="00D330B0" w:rsidP="00D330B0">
      <w:pPr>
        <w:widowControl/>
        <w:shd w:val="clear" w:color="auto" w:fill="FFFFFF"/>
        <w:outlineLvl w:val="0"/>
        <w:rPr>
          <w:rFonts w:ascii="Arial" w:eastAsia="新細明體" w:hAnsi="Arial" w:cs="Arial"/>
          <w:b/>
          <w:bCs/>
          <w:kern w:val="36"/>
          <w:sz w:val="42"/>
          <w:szCs w:val="42"/>
        </w:rPr>
      </w:pPr>
    </w:p>
    <w:p w:rsidR="00D330B0" w:rsidRDefault="00D330B0" w:rsidP="00D330B0">
      <w:pPr>
        <w:widowControl/>
        <w:shd w:val="clear" w:color="auto" w:fill="FFFFFF"/>
        <w:outlineLvl w:val="0"/>
        <w:rPr>
          <w:rFonts w:ascii="Arial" w:eastAsia="新細明體" w:hAnsi="Arial" w:cs="Arial"/>
          <w:b/>
          <w:bCs/>
          <w:kern w:val="36"/>
          <w:sz w:val="42"/>
          <w:szCs w:val="42"/>
        </w:rPr>
      </w:pPr>
    </w:p>
    <w:p w:rsidR="00D330B0" w:rsidRDefault="00D330B0" w:rsidP="00D330B0">
      <w:pPr>
        <w:widowControl/>
        <w:shd w:val="clear" w:color="auto" w:fill="FFFFFF"/>
        <w:outlineLvl w:val="0"/>
        <w:rPr>
          <w:rFonts w:ascii="Arial" w:eastAsia="新細明體" w:hAnsi="Arial" w:cs="Arial"/>
          <w:b/>
          <w:bCs/>
          <w:kern w:val="36"/>
          <w:sz w:val="42"/>
          <w:szCs w:val="42"/>
        </w:rPr>
      </w:pPr>
    </w:p>
    <w:p w:rsidR="00D330B0" w:rsidRPr="00D330B0" w:rsidRDefault="00D330B0" w:rsidP="00D330B0">
      <w:pPr>
        <w:widowControl/>
        <w:shd w:val="clear" w:color="auto" w:fill="FFFFFF"/>
        <w:outlineLvl w:val="0"/>
        <w:rPr>
          <w:rFonts w:ascii="Arial" w:eastAsia="新細明體" w:hAnsi="Arial" w:cs="Arial"/>
          <w:b/>
          <w:bCs/>
          <w:kern w:val="36"/>
          <w:sz w:val="48"/>
          <w:szCs w:val="48"/>
        </w:rPr>
      </w:pPr>
      <w:r w:rsidRPr="00D330B0">
        <w:rPr>
          <w:rFonts w:ascii="Arial" w:eastAsia="新細明體" w:hAnsi="Arial" w:cs="Arial" w:hint="eastAsia"/>
          <w:b/>
          <w:bCs/>
          <w:kern w:val="36"/>
          <w:sz w:val="48"/>
          <w:szCs w:val="48"/>
        </w:rPr>
        <w:t>6.</w:t>
      </w:r>
      <w:r w:rsidRPr="00D330B0">
        <w:rPr>
          <w:rFonts w:ascii="Arial" w:eastAsia="新細明體" w:hAnsi="Arial" w:cs="Arial"/>
          <w:b/>
          <w:bCs/>
          <w:kern w:val="36"/>
          <w:sz w:val="48"/>
          <w:szCs w:val="48"/>
        </w:rPr>
        <w:t>投資報酬率如何？</w:t>
      </w:r>
    </w:p>
    <w:p w:rsidR="00D330B0" w:rsidRPr="00D330B0" w:rsidRDefault="00D330B0" w:rsidP="00D330B0">
      <w:pPr>
        <w:widowControl/>
        <w:shd w:val="clear" w:color="auto" w:fill="FFFFFF"/>
        <w:spacing w:line="384" w:lineRule="atLeast"/>
        <w:rPr>
          <w:rFonts w:asciiTheme="minorEastAsia" w:hAnsiTheme="minorEastAsia" w:cs="Arial"/>
          <w:color w:val="333333"/>
          <w:kern w:val="0"/>
          <w:sz w:val="32"/>
          <w:szCs w:val="32"/>
        </w:rPr>
      </w:pPr>
      <w:r w:rsidRPr="00D330B0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►►</w:t>
      </w:r>
      <w:r w:rsidRPr="00D330B0">
        <w:rPr>
          <w:rFonts w:asciiTheme="minorEastAsia" w:hAnsiTheme="minorEastAsia" w:cs="Arial"/>
          <w:b/>
          <w:bCs/>
          <w:color w:val="333333"/>
          <w:kern w:val="0"/>
          <w:sz w:val="32"/>
          <w:szCs w:val="32"/>
        </w:rPr>
        <w:t>資產報酬率(ROA)至少要有8%</w:t>
      </w:r>
    </w:p>
    <w:p w:rsidR="00D330B0" w:rsidRPr="00D330B0" w:rsidRDefault="00D330B0" w:rsidP="00D330B0">
      <w:pPr>
        <w:widowControl/>
        <w:shd w:val="clear" w:color="auto" w:fill="FFFFFF"/>
        <w:spacing w:line="384" w:lineRule="atLeast"/>
        <w:rPr>
          <w:rFonts w:asciiTheme="minorEastAsia" w:hAnsiTheme="minorEastAsia" w:cs="Arial"/>
          <w:color w:val="333333"/>
          <w:kern w:val="0"/>
          <w:sz w:val="32"/>
          <w:szCs w:val="32"/>
        </w:rPr>
      </w:pPr>
      <w:r w:rsidRPr="00D330B0">
        <w:rPr>
          <w:rFonts w:asciiTheme="minorEastAsia" w:hAnsiTheme="minorEastAsia" w:cs="Arial"/>
          <w:color w:val="333333"/>
          <w:kern w:val="0"/>
          <w:sz w:val="32"/>
          <w:szCs w:val="32"/>
        </w:rPr>
        <w:t>股東權益報酬率與資產報酬率皆高，使用財務槓桿低，經營風險低。</w:t>
      </w:r>
    </w:p>
    <w:p w:rsidR="00D330B0" w:rsidRPr="00D330B0" w:rsidRDefault="00D330B0" w:rsidP="00D330B0">
      <w:pPr>
        <w:widowControl/>
        <w:shd w:val="clear" w:color="auto" w:fill="FFFFFF"/>
        <w:outlineLvl w:val="0"/>
        <w:rPr>
          <w:rFonts w:asciiTheme="minorEastAsia" w:hAnsiTheme="minorEastAsia" w:cs="Arial"/>
          <w:bCs/>
          <w:kern w:val="36"/>
          <w:sz w:val="32"/>
          <w:szCs w:val="32"/>
        </w:rPr>
      </w:pPr>
    </w:p>
    <w:p w:rsidR="00D330B0" w:rsidRPr="00D330B0" w:rsidRDefault="00D330B0" w:rsidP="00D330B0">
      <w:pPr>
        <w:widowControl/>
        <w:shd w:val="clear" w:color="auto" w:fill="FFFFFF"/>
        <w:outlineLvl w:val="0"/>
        <w:rPr>
          <w:rFonts w:asciiTheme="minorEastAsia" w:hAnsiTheme="minorEastAsia" w:cs="Arial"/>
          <w:bCs/>
          <w:kern w:val="36"/>
          <w:sz w:val="32"/>
          <w:szCs w:val="32"/>
        </w:rPr>
      </w:pPr>
      <w:r w:rsidRPr="00D330B0">
        <w:rPr>
          <w:rFonts w:asciiTheme="minorEastAsia" w:hAnsiTheme="minorEastAsia" w:cs="Arial" w:hint="eastAsia"/>
          <w:bCs/>
          <w:kern w:val="36"/>
          <w:sz w:val="32"/>
          <w:szCs w:val="32"/>
        </w:rPr>
        <w:t>2009年至2014年 廣達的ROE及ROA。</w:t>
      </w:r>
    </w:p>
    <w:p w:rsidR="00D330B0" w:rsidRPr="00D330B0" w:rsidRDefault="00D330B0" w:rsidP="00D330B0">
      <w:pPr>
        <w:widowControl/>
        <w:shd w:val="clear" w:color="auto" w:fill="FFFFFF"/>
        <w:outlineLvl w:val="0"/>
        <w:rPr>
          <w:rFonts w:ascii="Arial" w:eastAsia="新細明體" w:hAnsi="Arial" w:cs="Arial"/>
          <w:b/>
          <w:bCs/>
          <w:color w:val="990000"/>
          <w:kern w:val="36"/>
          <w:sz w:val="42"/>
          <w:szCs w:val="42"/>
        </w:rPr>
      </w:pPr>
      <w:r w:rsidRPr="00D330B0"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 wp14:anchorId="58ACD715" wp14:editId="79C426E7">
            <wp:extent cx="5143500" cy="2600325"/>
            <wp:effectExtent l="0" t="0" r="19050" b="9525"/>
            <wp:docPr id="6" name="圖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330B0" w:rsidRPr="00D330B0" w:rsidRDefault="00D330B0" w:rsidP="00D330B0">
      <w:pPr>
        <w:widowControl/>
        <w:shd w:val="clear" w:color="auto" w:fill="FFFFFF"/>
        <w:outlineLvl w:val="0"/>
        <w:rPr>
          <w:rFonts w:ascii="Arial" w:eastAsia="新細明體" w:hAnsi="Arial" w:cs="Arial"/>
          <w:b/>
          <w:bCs/>
          <w:kern w:val="36"/>
          <w:sz w:val="28"/>
          <w:szCs w:val="28"/>
        </w:rPr>
      </w:pPr>
    </w:p>
    <w:p w:rsidR="00D330B0" w:rsidRDefault="00D330B0" w:rsidP="00D330B0">
      <w:pPr>
        <w:widowControl/>
        <w:shd w:val="clear" w:color="auto" w:fill="FFFFFF"/>
        <w:outlineLvl w:val="0"/>
        <w:rPr>
          <w:rFonts w:asciiTheme="minorEastAsia" w:hAnsiTheme="minorEastAsia" w:cs="Arial"/>
          <w:bCs/>
          <w:kern w:val="36"/>
          <w:sz w:val="28"/>
          <w:szCs w:val="28"/>
        </w:rPr>
      </w:pPr>
      <w:r>
        <w:rPr>
          <w:rFonts w:asciiTheme="minorEastAsia" w:hAnsiTheme="minorEastAsia" w:cs="Arial" w:hint="eastAsia"/>
          <w:bCs/>
          <w:kern w:val="36"/>
          <w:sz w:val="28"/>
          <w:szCs w:val="28"/>
        </w:rPr>
        <w:t>答:</w:t>
      </w:r>
    </w:p>
    <w:p w:rsidR="00D330B0" w:rsidRDefault="00D330B0" w:rsidP="00D330B0">
      <w:pPr>
        <w:widowControl/>
        <w:shd w:val="clear" w:color="auto" w:fill="FFFFFF"/>
        <w:outlineLvl w:val="0"/>
        <w:rPr>
          <w:rFonts w:asciiTheme="minorEastAsia" w:hAnsiTheme="minorEastAsia" w:cs="Arial"/>
          <w:bCs/>
          <w:kern w:val="36"/>
          <w:sz w:val="28"/>
          <w:szCs w:val="28"/>
        </w:rPr>
      </w:pPr>
      <w:r>
        <w:rPr>
          <w:rFonts w:asciiTheme="minorEastAsia" w:hAnsiTheme="minorEastAsia" w:cs="Arial" w:hint="eastAsia"/>
          <w:bCs/>
          <w:kern w:val="36"/>
          <w:sz w:val="28"/>
          <w:szCs w:val="28"/>
        </w:rPr>
        <w:t xml:space="preserve">   </w:t>
      </w:r>
      <w:r w:rsidRPr="00D330B0">
        <w:rPr>
          <w:rFonts w:asciiTheme="minorEastAsia" w:hAnsiTheme="minorEastAsia" w:cs="Arial" w:hint="eastAsia"/>
          <w:bCs/>
          <w:kern w:val="36"/>
          <w:sz w:val="28"/>
          <w:szCs w:val="28"/>
        </w:rPr>
        <w:t>ROE與ROA差額越大表示財務槓桿越高，經營風險就越高。</w:t>
      </w:r>
    </w:p>
    <w:p w:rsidR="007A6A11" w:rsidRDefault="007A6A11" w:rsidP="00D330B0">
      <w:pPr>
        <w:widowControl/>
        <w:shd w:val="clear" w:color="auto" w:fill="FFFFFF"/>
        <w:outlineLvl w:val="0"/>
        <w:rPr>
          <w:rFonts w:asciiTheme="minorEastAsia" w:hAnsiTheme="minorEastAsia" w:cs="Arial"/>
          <w:bCs/>
          <w:kern w:val="36"/>
          <w:sz w:val="28"/>
          <w:szCs w:val="28"/>
        </w:rPr>
      </w:pPr>
    </w:p>
    <w:p w:rsidR="00D330B0" w:rsidRPr="00D330B0" w:rsidRDefault="00D330B0" w:rsidP="00D330B0">
      <w:pPr>
        <w:rPr>
          <w:rFonts w:ascii="標楷體" w:eastAsia="標楷體" w:hAnsi="標楷體"/>
          <w:sz w:val="48"/>
          <w:szCs w:val="48"/>
        </w:rPr>
      </w:pPr>
      <w:r w:rsidRPr="00D330B0">
        <w:rPr>
          <w:rFonts w:ascii="標楷體" w:eastAsia="標楷體" w:hAnsi="標楷體" w:hint="eastAsia"/>
          <w:sz w:val="48"/>
          <w:szCs w:val="48"/>
        </w:rPr>
        <w:t>7.短期週轉金是否順暢?</w:t>
      </w:r>
    </w:p>
    <w:p w:rsidR="00D330B0" w:rsidRPr="00D330B0" w:rsidRDefault="00D330B0" w:rsidP="00D330B0">
      <w:pPr>
        <w:rPr>
          <w:rFonts w:ascii="標楷體" w:eastAsia="標楷體" w:hAnsi="標楷體"/>
          <w:sz w:val="32"/>
          <w:szCs w:val="32"/>
        </w:rPr>
      </w:pPr>
      <w:r w:rsidRPr="00D330B0">
        <w:rPr>
          <w:rFonts w:ascii="標楷體" w:eastAsia="標楷體" w:hAnsi="標楷體" w:hint="eastAsia"/>
          <w:sz w:val="32"/>
          <w:szCs w:val="32"/>
        </w:rPr>
        <w:t>投資前的財報資訊-廣達(筆電)</w:t>
      </w:r>
    </w:p>
    <w:tbl>
      <w:tblPr>
        <w:tblW w:w="9755" w:type="dxa"/>
        <w:tblInd w:w="-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412"/>
        <w:gridCol w:w="1426"/>
        <w:gridCol w:w="1276"/>
        <w:gridCol w:w="1276"/>
        <w:gridCol w:w="1275"/>
        <w:gridCol w:w="1250"/>
      </w:tblGrid>
      <w:tr w:rsidR="00D330B0" w:rsidRPr="00956A0C" w:rsidTr="00E46D67">
        <w:trPr>
          <w:trHeight w:val="48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D330B0" w:rsidRPr="002F49ED" w:rsidRDefault="00D330B0" w:rsidP="00E46D67">
            <w:pPr>
              <w:widowControl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49ED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 xml:space="preserve"> 廣達(2382)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0B0" w:rsidRPr="002F49ED" w:rsidRDefault="00D330B0" w:rsidP="00E46D67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49ED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97</w:t>
            </w:r>
            <w:r w:rsidRPr="002F49ED"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  <w:t>年度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0B0" w:rsidRPr="002F49ED" w:rsidRDefault="00D330B0" w:rsidP="00E46D67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49ED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98</w:t>
            </w:r>
            <w:r w:rsidRPr="002F49ED"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0B0" w:rsidRPr="002F49ED" w:rsidRDefault="00D330B0" w:rsidP="00E46D67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49ED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99</w:t>
            </w:r>
            <w:r w:rsidRPr="002F49ED"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0B0" w:rsidRPr="002F49ED" w:rsidRDefault="00D330B0" w:rsidP="00E46D67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49ED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100</w:t>
            </w:r>
            <w:r w:rsidRPr="002F49ED"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  <w:t>年度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0B0" w:rsidRPr="002F49ED" w:rsidRDefault="00D330B0" w:rsidP="00E46D67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49ED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101</w:t>
            </w:r>
            <w:r w:rsidRPr="002F49ED"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  <w:t>年度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0B0" w:rsidRPr="002F49ED" w:rsidRDefault="00D330B0" w:rsidP="00E46D67">
            <w:pPr>
              <w:widowControl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F49ED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102</w:t>
            </w:r>
            <w:r w:rsidRPr="002F49ED"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  <w:t>年度</w:t>
            </w:r>
          </w:p>
        </w:tc>
      </w:tr>
      <w:tr w:rsidR="00D330B0" w:rsidRPr="00956A0C" w:rsidTr="00E46D67">
        <w:trPr>
          <w:trHeight w:val="45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0B0" w:rsidRPr="002F49ED" w:rsidRDefault="00D330B0" w:rsidP="00E46D67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 w:rsidRPr="002F49ED">
              <w:rPr>
                <w:rFonts w:ascii="標楷體" w:eastAsia="標楷體" w:hAnsi="標楷體" w:cs="Arial" w:hint="eastAsia"/>
                <w:b/>
                <w:color w:val="000000"/>
                <w:kern w:val="24"/>
                <w:sz w:val="28"/>
                <w:szCs w:val="28"/>
              </w:rPr>
              <w:t>流動比率(%)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0B0" w:rsidRPr="002F49ED" w:rsidRDefault="00D330B0" w:rsidP="00E46D67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155.94</w:t>
            </w:r>
            <w:r w:rsidRPr="002F49ED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%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0B0" w:rsidRPr="002F49ED" w:rsidRDefault="00D330B0" w:rsidP="00E46D67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137.32</w:t>
            </w:r>
            <w:r w:rsidRPr="002F49ED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0B0" w:rsidRPr="002F49ED" w:rsidRDefault="00D330B0" w:rsidP="00E46D67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141.56</w:t>
            </w:r>
            <w:r w:rsidRPr="002F49ED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0B0" w:rsidRPr="002F49ED" w:rsidRDefault="00D330B0" w:rsidP="00E46D67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139.17</w:t>
            </w:r>
            <w:r w:rsidRPr="002F49ED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0B0" w:rsidRPr="002F49ED" w:rsidRDefault="00D330B0" w:rsidP="00E46D67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141.22</w:t>
            </w:r>
            <w:r w:rsidRPr="002F49ED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0B0" w:rsidRPr="002F49ED" w:rsidRDefault="00D330B0" w:rsidP="00E46D67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126.41</w:t>
            </w:r>
            <w:r w:rsidRPr="002F49ED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%</w:t>
            </w:r>
          </w:p>
        </w:tc>
      </w:tr>
      <w:tr w:rsidR="00D330B0" w:rsidRPr="00956A0C" w:rsidTr="00E46D67">
        <w:trPr>
          <w:trHeight w:val="559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0B0" w:rsidRPr="002F49ED" w:rsidRDefault="00D330B0" w:rsidP="00E46D67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 w:rsidRPr="002F49ED">
              <w:rPr>
                <w:rFonts w:ascii="標楷體" w:eastAsia="標楷體" w:hAnsi="標楷體" w:cs="Arial" w:hint="eastAsia"/>
                <w:b/>
                <w:color w:val="000000"/>
                <w:kern w:val="24"/>
                <w:sz w:val="28"/>
                <w:szCs w:val="28"/>
              </w:rPr>
              <w:t>速動比率(%)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0B0" w:rsidRPr="002F49ED" w:rsidRDefault="00D330B0" w:rsidP="00E46D67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145.36</w:t>
            </w:r>
            <w:r w:rsidRPr="002F49ED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%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0B0" w:rsidRPr="002F49ED" w:rsidRDefault="00D330B0" w:rsidP="00E46D67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127.14</w:t>
            </w:r>
            <w:r w:rsidRPr="002F49ED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0B0" w:rsidRPr="002F49ED" w:rsidRDefault="00D330B0" w:rsidP="00E46D67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125.82</w:t>
            </w:r>
            <w:r w:rsidRPr="002F49ED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0B0" w:rsidRPr="002F49ED" w:rsidRDefault="00D330B0" w:rsidP="00E46D67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117.39</w:t>
            </w:r>
            <w:r w:rsidRPr="002F49ED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0B0" w:rsidRPr="002F49ED" w:rsidRDefault="00D330B0" w:rsidP="00E46D67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121.83</w:t>
            </w:r>
            <w:r w:rsidRPr="002F49ED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30B0" w:rsidRPr="002F49ED" w:rsidRDefault="00D330B0" w:rsidP="00E46D67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104.37</w:t>
            </w:r>
            <w:r w:rsidRPr="002F49ED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%</w:t>
            </w:r>
          </w:p>
        </w:tc>
      </w:tr>
    </w:tbl>
    <w:p w:rsidR="00D330B0" w:rsidRPr="00D330B0" w:rsidRDefault="00D330B0" w:rsidP="00D330B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w:drawing>
          <wp:inline distT="0" distB="0" distL="0" distR="0" wp14:anchorId="154A8C6B" wp14:editId="67F995A6">
            <wp:extent cx="5274310" cy="1974204"/>
            <wp:effectExtent l="0" t="0" r="2540" b="7620"/>
            <wp:docPr id="7" name="圖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330B0" w:rsidRPr="00D330B0" w:rsidRDefault="00D330B0" w:rsidP="00D330B0">
      <w:pPr>
        <w:rPr>
          <w:rFonts w:asciiTheme="minorEastAsia" w:hAnsiTheme="minorEastAsia"/>
          <w:sz w:val="28"/>
          <w:szCs w:val="28"/>
        </w:rPr>
      </w:pPr>
    </w:p>
    <w:p w:rsidR="007A6A11" w:rsidRPr="007A6A11" w:rsidRDefault="007A6A11" w:rsidP="007A6A11">
      <w:pPr>
        <w:rPr>
          <w:rFonts w:asciiTheme="minorEastAsia" w:hAnsiTheme="minorEastAsia"/>
          <w:sz w:val="28"/>
          <w:szCs w:val="28"/>
        </w:rPr>
      </w:pPr>
      <w:r w:rsidRPr="007A6A11">
        <w:rPr>
          <w:rFonts w:asciiTheme="minorEastAsia" w:hAnsiTheme="minorEastAsia" w:hint="eastAsia"/>
          <w:sz w:val="28"/>
          <w:szCs w:val="28"/>
        </w:rPr>
        <w:t>答:</w:t>
      </w:r>
    </w:p>
    <w:p w:rsidR="007A6A11" w:rsidRDefault="007A6A11" w:rsidP="007A6A11">
      <w:pPr>
        <w:rPr>
          <w:rFonts w:asciiTheme="minorEastAsia" w:hAnsiTheme="minorEastAsia"/>
          <w:sz w:val="28"/>
          <w:szCs w:val="28"/>
        </w:rPr>
      </w:pPr>
      <w:r w:rsidRPr="007A6A11">
        <w:rPr>
          <w:rFonts w:asciiTheme="minorEastAsia" w:hAnsiTheme="minorEastAsia" w:hint="eastAsia"/>
          <w:sz w:val="28"/>
          <w:szCs w:val="28"/>
        </w:rPr>
        <w:t xml:space="preserve">   廣達的流動比率與速動比率皆大於100%，顯示廣達97年~102年擁有良好的短期償債能力。</w:t>
      </w:r>
    </w:p>
    <w:p w:rsidR="00977720" w:rsidRPr="007A6A11" w:rsidRDefault="00977720" w:rsidP="007A6A11">
      <w:pPr>
        <w:rPr>
          <w:rFonts w:asciiTheme="minorEastAsia" w:hAnsiTheme="minorEastAsia"/>
          <w:sz w:val="28"/>
          <w:szCs w:val="28"/>
        </w:rPr>
      </w:pPr>
    </w:p>
    <w:p w:rsidR="00D330B0" w:rsidRPr="00977720" w:rsidRDefault="00977720" w:rsidP="00977720">
      <w:pPr>
        <w:widowControl/>
        <w:shd w:val="clear" w:color="auto" w:fill="FFFFFF"/>
        <w:outlineLvl w:val="0"/>
        <w:rPr>
          <w:rFonts w:ascii="Arial" w:eastAsia="新細明體" w:hAnsi="Arial" w:cs="Arial"/>
          <w:b/>
          <w:bCs/>
          <w:color w:val="000000" w:themeColor="text1"/>
          <w:kern w:val="36"/>
          <w:sz w:val="32"/>
          <w:szCs w:val="32"/>
        </w:rPr>
      </w:pPr>
      <w:r w:rsidRPr="004A1F86">
        <w:rPr>
          <w:rFonts w:ascii="Arial" w:eastAsia="新細明體" w:hAnsi="Arial" w:cs="Arial"/>
          <w:b/>
          <w:bCs/>
          <w:color w:val="000000" w:themeColor="text1"/>
          <w:kern w:val="36"/>
          <w:sz w:val="32"/>
          <w:szCs w:val="32"/>
        </w:rPr>
        <w:t>８．財務結構是否穩當，獲利是否足以付息？</w:t>
      </w:r>
    </w:p>
    <w:tbl>
      <w:tblPr>
        <w:tblW w:w="813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0"/>
        <w:gridCol w:w="1260"/>
        <w:gridCol w:w="1080"/>
        <w:gridCol w:w="1080"/>
        <w:gridCol w:w="1080"/>
        <w:gridCol w:w="1080"/>
        <w:gridCol w:w="1080"/>
      </w:tblGrid>
      <w:tr w:rsidR="00977720" w:rsidRPr="004A1F86" w:rsidTr="00E46D67">
        <w:trPr>
          <w:trHeight w:val="3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720" w:rsidRPr="004A1F86" w:rsidRDefault="00977720" w:rsidP="00E46D6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720" w:rsidRPr="004A1F86" w:rsidRDefault="00977720" w:rsidP="00E46D6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A1F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96年度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720" w:rsidRPr="004A1F86" w:rsidRDefault="00977720" w:rsidP="00E46D6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A1F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97年度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720" w:rsidRPr="004A1F86" w:rsidRDefault="00977720" w:rsidP="00E46D6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A1F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98年度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720" w:rsidRPr="004A1F86" w:rsidRDefault="00977720" w:rsidP="00E46D6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A1F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99年度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720" w:rsidRPr="004A1F86" w:rsidRDefault="00977720" w:rsidP="00E46D6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A1F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100年度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720" w:rsidRPr="004A1F86" w:rsidRDefault="00977720" w:rsidP="00E46D6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A1F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101年度</w:t>
            </w:r>
          </w:p>
        </w:tc>
      </w:tr>
      <w:tr w:rsidR="00977720" w:rsidRPr="004A1F86" w:rsidTr="00E46D67">
        <w:trPr>
          <w:trHeight w:val="3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720" w:rsidRPr="004A1F86" w:rsidRDefault="00977720" w:rsidP="00E46D6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A1F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負債比率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720" w:rsidRPr="004A1F86" w:rsidRDefault="00977720" w:rsidP="00E46D6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A1F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63.48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720" w:rsidRPr="004A1F86" w:rsidRDefault="00977720" w:rsidP="00E46D6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A1F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61.57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720" w:rsidRPr="004A1F86" w:rsidRDefault="00977720" w:rsidP="00E46D6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A1F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62.52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720" w:rsidRPr="004A1F86" w:rsidRDefault="00977720" w:rsidP="00E46D6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A1F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66.51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720" w:rsidRPr="004A1F86" w:rsidRDefault="00977720" w:rsidP="00E46D6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A1F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68.48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720" w:rsidRPr="004A1F86" w:rsidRDefault="00977720" w:rsidP="00E46D6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A1F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63.61</w:t>
            </w:r>
          </w:p>
        </w:tc>
      </w:tr>
      <w:tr w:rsidR="00977720" w:rsidRPr="004A1F86" w:rsidTr="00E46D67">
        <w:trPr>
          <w:trHeight w:val="3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720" w:rsidRPr="004A1F86" w:rsidRDefault="00977720" w:rsidP="00E46D6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A1F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實質負債比率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720" w:rsidRPr="004A1F86" w:rsidRDefault="00977720" w:rsidP="00E46D6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A1F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0.0000341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720" w:rsidRPr="004A1F86" w:rsidRDefault="00977720" w:rsidP="00E46D6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A1F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0.1724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720" w:rsidRPr="004A1F86" w:rsidRDefault="00977720" w:rsidP="00E46D6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A1F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0.000172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720" w:rsidRPr="004A1F86" w:rsidRDefault="00977720" w:rsidP="00E46D6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A1F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0.14029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720" w:rsidRPr="004A1F86" w:rsidRDefault="00977720" w:rsidP="00E46D6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A1F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0.1499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720" w:rsidRPr="004A1F86" w:rsidRDefault="00977720" w:rsidP="00E46D67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A1F8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0.06733</w:t>
            </w:r>
          </w:p>
        </w:tc>
      </w:tr>
    </w:tbl>
    <w:p w:rsidR="00977720" w:rsidRDefault="00977720" w:rsidP="00977720">
      <w:r w:rsidRPr="004A1F86">
        <w:rPr>
          <w:noProof/>
        </w:rPr>
        <w:drawing>
          <wp:inline distT="0" distB="0" distL="0" distR="0" wp14:anchorId="50E49D4B" wp14:editId="6D733583">
            <wp:extent cx="4584589" cy="2755631"/>
            <wp:effectExtent l="0" t="0" r="6985" b="698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84589" cy="27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720" w:rsidRPr="00977720" w:rsidRDefault="00977720" w:rsidP="00977720">
      <w:pPr>
        <w:widowControl/>
        <w:shd w:val="clear" w:color="auto" w:fill="FFFFFF"/>
        <w:outlineLvl w:val="0"/>
        <w:rPr>
          <w:rStyle w:val="a3"/>
          <w:rFonts w:asciiTheme="minorEastAsia" w:hAnsiTheme="minorEastAsia" w:cs="Arial"/>
          <w:b w:val="0"/>
          <w:color w:val="333333"/>
          <w:sz w:val="28"/>
          <w:szCs w:val="28"/>
          <w:shd w:val="clear" w:color="auto" w:fill="FFFFFF"/>
        </w:rPr>
      </w:pPr>
      <w:r w:rsidRPr="00977720">
        <w:rPr>
          <w:rStyle w:val="a3"/>
          <w:rFonts w:asciiTheme="minorEastAsia" w:hAnsiTheme="minorEastAsia" w:cs="Arial" w:hint="eastAsia"/>
          <w:b w:val="0"/>
          <w:color w:val="333333"/>
          <w:sz w:val="28"/>
          <w:szCs w:val="28"/>
          <w:shd w:val="clear" w:color="auto" w:fill="FFFFFF"/>
        </w:rPr>
        <w:t xml:space="preserve">答: </w:t>
      </w:r>
    </w:p>
    <w:p w:rsidR="00977720" w:rsidRPr="00977720" w:rsidRDefault="00977720" w:rsidP="00977720">
      <w:pPr>
        <w:widowControl/>
        <w:shd w:val="clear" w:color="auto" w:fill="FFFFFF"/>
        <w:outlineLvl w:val="0"/>
        <w:rPr>
          <w:rFonts w:asciiTheme="minorEastAsia" w:hAnsiTheme="minorEastAsia" w:cs="Arial"/>
          <w:bCs/>
          <w:color w:val="000000" w:themeColor="text1"/>
          <w:kern w:val="36"/>
          <w:sz w:val="28"/>
          <w:szCs w:val="28"/>
        </w:rPr>
      </w:pPr>
      <w:r w:rsidRPr="00977720">
        <w:rPr>
          <w:rStyle w:val="a3"/>
          <w:rFonts w:asciiTheme="minorEastAsia" w:hAnsiTheme="minorEastAsia" w:cs="Arial" w:hint="eastAsia"/>
          <w:b w:val="0"/>
          <w:color w:val="333333"/>
          <w:sz w:val="28"/>
          <w:szCs w:val="28"/>
          <w:shd w:val="clear" w:color="auto" w:fill="FFFFFF"/>
        </w:rPr>
        <w:t xml:space="preserve">   </w:t>
      </w:r>
      <w:r w:rsidRPr="00977720">
        <w:rPr>
          <w:rStyle w:val="a3"/>
          <w:rFonts w:asciiTheme="minorEastAsia" w:hAnsiTheme="minorEastAsia" w:cs="Arial"/>
          <w:b w:val="0"/>
          <w:color w:val="333333"/>
          <w:sz w:val="28"/>
          <w:szCs w:val="28"/>
          <w:shd w:val="clear" w:color="auto" w:fill="FFFFFF"/>
        </w:rPr>
        <w:t>實質負債比率要小於產業中位數</w:t>
      </w:r>
      <w:r w:rsidRPr="00977720">
        <w:rPr>
          <w:rStyle w:val="a3"/>
          <w:rFonts w:asciiTheme="minorEastAsia" w:hAnsiTheme="minorEastAsia" w:cs="Arial" w:hint="eastAsia"/>
          <w:b w:val="0"/>
          <w:color w:val="333333"/>
          <w:sz w:val="28"/>
          <w:szCs w:val="28"/>
          <w:shd w:val="clear" w:color="auto" w:fill="FFFFFF"/>
        </w:rPr>
        <w:t>，</w:t>
      </w:r>
      <w:r w:rsidRPr="00977720">
        <w:rPr>
          <w:rFonts w:asciiTheme="minorEastAsia" w:hAnsiTheme="minorEastAsia" w:cs="Arial" w:hint="eastAsia"/>
          <w:bCs/>
          <w:color w:val="000000" w:themeColor="text1"/>
          <w:kern w:val="36"/>
          <w:sz w:val="28"/>
          <w:szCs w:val="28"/>
        </w:rPr>
        <w:t>因為廣達幾乎都沒有長期負債，所以並不用考慮負債問題。</w:t>
      </w:r>
    </w:p>
    <w:p w:rsidR="00977720" w:rsidRPr="00977720" w:rsidRDefault="00977720" w:rsidP="00977720">
      <w:pPr>
        <w:widowControl/>
        <w:shd w:val="clear" w:color="auto" w:fill="FFFFFF"/>
        <w:outlineLvl w:val="0"/>
        <w:rPr>
          <w:rStyle w:val="a3"/>
          <w:rFonts w:ascii="Arial" w:hAnsi="Arial" w:cs="Arial"/>
          <w:b w:val="0"/>
          <w:color w:val="333333"/>
          <w:sz w:val="28"/>
          <w:szCs w:val="28"/>
          <w:shd w:val="clear" w:color="auto" w:fill="FFFFFF"/>
        </w:rPr>
      </w:pPr>
    </w:p>
    <w:p w:rsidR="00487CA5" w:rsidRDefault="00487CA5">
      <w:pPr>
        <w:rPr>
          <w:sz w:val="32"/>
          <w:szCs w:val="32"/>
        </w:rPr>
      </w:pPr>
    </w:p>
    <w:p w:rsidR="00C747D0" w:rsidRPr="00487CA5" w:rsidRDefault="00487CA5">
      <w:pPr>
        <w:rPr>
          <w:sz w:val="48"/>
          <w:szCs w:val="48"/>
        </w:rPr>
      </w:pPr>
      <w:r w:rsidRPr="00487CA5">
        <w:rPr>
          <w:rFonts w:hint="eastAsia"/>
          <w:sz w:val="48"/>
          <w:szCs w:val="48"/>
        </w:rPr>
        <w:lastRenderedPageBreak/>
        <w:t>結論</w:t>
      </w:r>
      <w:r w:rsidRPr="00487CA5">
        <w:rPr>
          <w:rFonts w:hint="eastAsia"/>
          <w:sz w:val="48"/>
          <w:szCs w:val="48"/>
        </w:rPr>
        <w:t>:</w:t>
      </w:r>
    </w:p>
    <w:p w:rsidR="00487CA5" w:rsidRPr="00487CA5" w:rsidRDefault="00487CA5" w:rsidP="00487CA5">
      <w:pPr>
        <w:rPr>
          <w:sz w:val="32"/>
          <w:szCs w:val="32"/>
        </w:rPr>
      </w:pPr>
      <w:r w:rsidRPr="00487CA5">
        <w:rPr>
          <w:rFonts w:hint="eastAsia"/>
          <w:sz w:val="32"/>
          <w:szCs w:val="32"/>
        </w:rPr>
        <w:t>1.</w:t>
      </w:r>
      <w:r w:rsidRPr="00487CA5">
        <w:rPr>
          <w:rFonts w:hint="eastAsia"/>
          <w:sz w:val="32"/>
          <w:szCs w:val="32"/>
        </w:rPr>
        <w:t>是否值得投資？</w:t>
      </w:r>
    </w:p>
    <w:p w:rsidR="00487CA5" w:rsidRDefault="00487CA5" w:rsidP="00487CA5">
      <w:pPr>
        <w:rPr>
          <w:rFonts w:asciiTheme="minorEastAsia" w:hAnsiTheme="minorEastAsia"/>
          <w:sz w:val="28"/>
          <w:szCs w:val="28"/>
        </w:rPr>
      </w:pPr>
      <w:r w:rsidRPr="00487CA5">
        <w:rPr>
          <w:rFonts w:hint="eastAsia"/>
          <w:sz w:val="28"/>
          <w:szCs w:val="28"/>
        </w:rPr>
        <w:t>依據上方的資料可知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 w:rsidRPr="00487CA5">
        <w:rPr>
          <w:rFonts w:hint="eastAsia"/>
          <w:sz w:val="28"/>
          <w:szCs w:val="28"/>
        </w:rPr>
        <w:t>廣達公司營運風險較低</w:t>
      </w:r>
      <w:r w:rsidRPr="00487CA5">
        <w:rPr>
          <w:rFonts w:hint="eastAsia"/>
          <w:sz w:val="28"/>
          <w:szCs w:val="28"/>
        </w:rPr>
        <w:t>,</w:t>
      </w:r>
      <w:r w:rsidRPr="00487CA5">
        <w:rPr>
          <w:rFonts w:hint="eastAsia"/>
          <w:sz w:val="28"/>
          <w:szCs w:val="28"/>
        </w:rPr>
        <w:t>所以是值得投資的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487CA5" w:rsidRPr="00487CA5" w:rsidRDefault="00487CA5" w:rsidP="00487CA5">
      <w:pPr>
        <w:rPr>
          <w:sz w:val="28"/>
          <w:szCs w:val="28"/>
        </w:rPr>
      </w:pPr>
    </w:p>
    <w:p w:rsidR="00487CA5" w:rsidRPr="00487CA5" w:rsidRDefault="00487CA5" w:rsidP="00487CA5">
      <w:pPr>
        <w:rPr>
          <w:sz w:val="32"/>
          <w:szCs w:val="32"/>
        </w:rPr>
      </w:pPr>
      <w:r w:rsidRPr="00487CA5">
        <w:rPr>
          <w:rFonts w:hint="eastAsia"/>
          <w:sz w:val="32"/>
          <w:szCs w:val="32"/>
        </w:rPr>
        <w:t>2.</w:t>
      </w:r>
      <w:r w:rsidRPr="00487CA5">
        <w:rPr>
          <w:rFonts w:hint="eastAsia"/>
          <w:sz w:val="32"/>
          <w:szCs w:val="32"/>
        </w:rPr>
        <w:t>長期</w:t>
      </w:r>
      <w:r w:rsidRPr="00487CA5">
        <w:rPr>
          <w:rFonts w:hint="eastAsia"/>
          <w:sz w:val="32"/>
          <w:szCs w:val="32"/>
        </w:rPr>
        <w:t>/</w:t>
      </w:r>
      <w:r w:rsidRPr="00487CA5">
        <w:rPr>
          <w:rFonts w:hint="eastAsia"/>
          <w:sz w:val="32"/>
          <w:szCs w:val="32"/>
        </w:rPr>
        <w:t>短期投資？</w:t>
      </w:r>
    </w:p>
    <w:p w:rsidR="00487CA5" w:rsidRPr="00487CA5" w:rsidRDefault="00487CA5" w:rsidP="00487CA5">
      <w:pPr>
        <w:rPr>
          <w:sz w:val="28"/>
          <w:szCs w:val="28"/>
        </w:rPr>
      </w:pPr>
      <w:r w:rsidRPr="00487CA5">
        <w:rPr>
          <w:rFonts w:hint="eastAsia"/>
          <w:sz w:val="28"/>
          <w:szCs w:val="28"/>
        </w:rPr>
        <w:t>短期投資</w:t>
      </w:r>
      <w:r w:rsidRPr="00487CA5">
        <w:rPr>
          <w:rFonts w:hint="eastAsia"/>
          <w:sz w:val="28"/>
          <w:szCs w:val="28"/>
        </w:rPr>
        <w:t>:</w:t>
      </w:r>
      <w:r w:rsidRPr="00487CA5">
        <w:rPr>
          <w:rFonts w:hint="eastAsia"/>
          <w:sz w:val="28"/>
          <w:szCs w:val="28"/>
        </w:rPr>
        <w:t>由上方第</w:t>
      </w:r>
      <w:r w:rsidRPr="00487CA5">
        <w:rPr>
          <w:rFonts w:hint="eastAsia"/>
          <w:sz w:val="28"/>
          <w:szCs w:val="28"/>
        </w:rPr>
        <w:t>7</w:t>
      </w:r>
      <w:r w:rsidRPr="00487CA5">
        <w:rPr>
          <w:rFonts w:hint="eastAsia"/>
          <w:sz w:val="28"/>
          <w:szCs w:val="28"/>
        </w:rPr>
        <w:t>題答案可知廣達擁有良好的短期償債能力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487CA5" w:rsidRPr="00487CA5" w:rsidRDefault="00487CA5" w:rsidP="00487CA5">
      <w:pPr>
        <w:rPr>
          <w:sz w:val="28"/>
          <w:szCs w:val="28"/>
        </w:rPr>
      </w:pPr>
    </w:p>
    <w:p w:rsidR="00487CA5" w:rsidRDefault="00487CA5" w:rsidP="00487CA5">
      <w:pPr>
        <w:rPr>
          <w:rFonts w:asciiTheme="minorEastAsia" w:hAnsiTheme="minorEastAsia"/>
          <w:sz w:val="28"/>
          <w:szCs w:val="28"/>
        </w:rPr>
      </w:pPr>
      <w:r w:rsidRPr="00487CA5">
        <w:rPr>
          <w:rFonts w:hint="eastAsia"/>
          <w:sz w:val="28"/>
          <w:szCs w:val="28"/>
        </w:rPr>
        <w:t>長期投資</w:t>
      </w:r>
      <w:r w:rsidRPr="00487CA5">
        <w:rPr>
          <w:rFonts w:hint="eastAsia"/>
          <w:sz w:val="28"/>
          <w:szCs w:val="28"/>
        </w:rPr>
        <w:t>:</w:t>
      </w:r>
      <w:r w:rsidRPr="00487CA5">
        <w:rPr>
          <w:rFonts w:hint="eastAsia"/>
          <w:sz w:val="28"/>
          <w:szCs w:val="28"/>
        </w:rPr>
        <w:t>長期償債能力可由</w:t>
      </w:r>
      <w:r w:rsidRPr="00487CA5">
        <w:rPr>
          <w:sz w:val="28"/>
          <w:szCs w:val="28"/>
        </w:rPr>
        <w:t>資產負債率</w:t>
      </w:r>
      <w:r w:rsidRPr="00487CA5">
        <w:rPr>
          <w:rFonts w:hint="eastAsia"/>
          <w:sz w:val="28"/>
          <w:szCs w:val="28"/>
        </w:rPr>
        <w:t>與</w:t>
      </w:r>
      <w:r w:rsidRPr="00487CA5">
        <w:rPr>
          <w:sz w:val="28"/>
          <w:szCs w:val="28"/>
        </w:rPr>
        <w:t>負債經營率</w:t>
      </w:r>
      <w:r w:rsidRPr="00487CA5">
        <w:rPr>
          <w:rFonts w:hint="eastAsia"/>
          <w:sz w:val="28"/>
          <w:szCs w:val="28"/>
        </w:rPr>
        <w:t>來評估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487CA5" w:rsidRPr="00487CA5" w:rsidRDefault="00487CA5" w:rsidP="00487CA5">
      <w:pPr>
        <w:rPr>
          <w:sz w:val="28"/>
          <w:szCs w:val="28"/>
        </w:rPr>
      </w:pPr>
    </w:p>
    <w:p w:rsidR="00487CA5" w:rsidRPr="00487CA5" w:rsidRDefault="00487CA5" w:rsidP="00487CA5">
      <w:pPr>
        <w:rPr>
          <w:b/>
          <w:sz w:val="28"/>
          <w:szCs w:val="28"/>
        </w:rPr>
      </w:pPr>
      <w:r w:rsidRPr="00487CA5">
        <w:rPr>
          <w:b/>
          <w:sz w:val="28"/>
          <w:szCs w:val="28"/>
        </w:rPr>
        <w:t>資產負債率</w:t>
      </w:r>
    </w:p>
    <w:p w:rsidR="00487CA5" w:rsidRPr="00487CA5" w:rsidRDefault="00487CA5" w:rsidP="00487CA5">
      <w:pPr>
        <w:rPr>
          <w:sz w:val="28"/>
          <w:szCs w:val="28"/>
        </w:rPr>
      </w:pPr>
      <w:r w:rsidRPr="00487CA5">
        <w:rPr>
          <w:rFonts w:hint="eastAsia"/>
          <w:sz w:val="28"/>
          <w:szCs w:val="28"/>
        </w:rPr>
        <w:t>公式</w:t>
      </w:r>
      <w:r w:rsidRPr="00487CA5">
        <w:rPr>
          <w:rFonts w:hint="eastAsia"/>
          <w:sz w:val="28"/>
          <w:szCs w:val="28"/>
        </w:rPr>
        <w:t>:</w:t>
      </w:r>
      <w:r w:rsidRPr="00487CA5">
        <w:rPr>
          <w:sz w:val="28"/>
          <w:szCs w:val="28"/>
        </w:rPr>
        <w:t>資產負債率</w:t>
      </w:r>
      <w:r w:rsidRPr="00487CA5">
        <w:rPr>
          <w:sz w:val="28"/>
          <w:szCs w:val="28"/>
        </w:rPr>
        <w:t>=</w:t>
      </w:r>
      <w:r w:rsidRPr="00487CA5">
        <w:rPr>
          <w:sz w:val="28"/>
          <w:szCs w:val="28"/>
        </w:rPr>
        <w:t>（</w:t>
      </w:r>
      <w:hyperlink r:id="rId15" w:tooltip="负债总额" w:history="1">
        <w:r w:rsidRPr="00487CA5">
          <w:rPr>
            <w:rStyle w:val="aa"/>
            <w:sz w:val="28"/>
            <w:szCs w:val="28"/>
          </w:rPr>
          <w:t>負債總額</w:t>
        </w:r>
      </w:hyperlink>
      <w:r w:rsidRPr="00487CA5">
        <w:rPr>
          <w:sz w:val="28"/>
          <w:szCs w:val="28"/>
        </w:rPr>
        <w:t>÷</w:t>
      </w:r>
      <w:hyperlink r:id="rId16" w:tooltip="资产总额" w:history="1">
        <w:r w:rsidRPr="00487CA5">
          <w:rPr>
            <w:rStyle w:val="aa"/>
            <w:sz w:val="28"/>
            <w:szCs w:val="28"/>
          </w:rPr>
          <w:t>資產總額</w:t>
        </w:r>
      </w:hyperlink>
      <w:r w:rsidRPr="00487CA5">
        <w:rPr>
          <w:sz w:val="28"/>
          <w:szCs w:val="28"/>
        </w:rPr>
        <w:t>）</w:t>
      </w:r>
      <w:r w:rsidRPr="00487CA5">
        <w:rPr>
          <w:sz w:val="28"/>
          <w:szCs w:val="28"/>
        </w:rPr>
        <w:t>×100%</w:t>
      </w:r>
    </w:p>
    <w:p w:rsidR="00487CA5" w:rsidRPr="00487CA5" w:rsidRDefault="00487CA5" w:rsidP="00487CA5">
      <w:pPr>
        <w:rPr>
          <w:sz w:val="28"/>
          <w:szCs w:val="28"/>
        </w:rPr>
      </w:pPr>
      <w:r w:rsidRPr="00487CA5">
        <w:rPr>
          <w:rFonts w:hint="eastAsia"/>
          <w:sz w:val="28"/>
          <w:szCs w:val="28"/>
        </w:rPr>
        <w:t>(</w:t>
      </w:r>
      <w:r w:rsidRPr="00487CA5">
        <w:rPr>
          <w:sz w:val="28"/>
          <w:szCs w:val="28"/>
        </w:rPr>
        <w:t>411,985,026÷549,061,768</w:t>
      </w:r>
      <w:r w:rsidRPr="00487CA5">
        <w:rPr>
          <w:rFonts w:hint="eastAsia"/>
          <w:sz w:val="28"/>
          <w:szCs w:val="28"/>
        </w:rPr>
        <w:t>)</w:t>
      </w:r>
      <w:r w:rsidRPr="00487CA5">
        <w:rPr>
          <w:sz w:val="28"/>
          <w:szCs w:val="28"/>
        </w:rPr>
        <w:t xml:space="preserve"> ×100%</w:t>
      </w:r>
      <w:r w:rsidRPr="00487CA5">
        <w:rPr>
          <w:rFonts w:hint="eastAsia"/>
          <w:sz w:val="28"/>
          <w:szCs w:val="28"/>
        </w:rPr>
        <w:t>=75.03436772%</w:t>
      </w:r>
    </w:p>
    <w:p w:rsidR="00487CA5" w:rsidRPr="00487CA5" w:rsidRDefault="00487CA5" w:rsidP="00487CA5">
      <w:pPr>
        <w:rPr>
          <w:sz w:val="28"/>
          <w:szCs w:val="28"/>
        </w:rPr>
      </w:pPr>
      <w:r w:rsidRPr="00487CA5">
        <w:rPr>
          <w:sz w:val="28"/>
          <w:szCs w:val="28"/>
        </w:rPr>
        <w:t>較高的資產負債率，在效益較好、資金流轉穩定的企業是可以接受的，因這種企業具備償還債務本息的能力；在盈利狀況不穩定或</w:t>
      </w:r>
      <w:hyperlink r:id="rId17" w:tooltip="经营管理" w:history="1">
        <w:r w:rsidRPr="00487CA5">
          <w:rPr>
            <w:rStyle w:val="aa"/>
            <w:sz w:val="28"/>
            <w:szCs w:val="28"/>
          </w:rPr>
          <w:t>經營管理</w:t>
        </w:r>
      </w:hyperlink>
      <w:r w:rsidRPr="00487CA5">
        <w:rPr>
          <w:sz w:val="28"/>
          <w:szCs w:val="28"/>
        </w:rPr>
        <w:t>水平不穩定的企業，則說明企業沒有償還債務的保障，不穩定的經營收益難以保證按期支付固定的利息，企業的長期償債能力較低。</w:t>
      </w:r>
    </w:p>
    <w:p w:rsidR="00487CA5" w:rsidRDefault="00487CA5" w:rsidP="00487CA5">
      <w:r>
        <w:rPr>
          <w:rFonts w:hint="eastAsia"/>
          <w:noProof/>
        </w:rPr>
        <w:lastRenderedPageBreak/>
        <w:drawing>
          <wp:inline distT="0" distB="0" distL="0" distR="0" wp14:anchorId="5B25A0F5" wp14:editId="4D9CABBF">
            <wp:extent cx="5274310" cy="4413885"/>
            <wp:effectExtent l="19050" t="0" r="2540" b="0"/>
            <wp:docPr id="9" name="圖片 2" descr="資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資產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CA5" w:rsidRDefault="00487CA5" w:rsidP="00487CA5">
      <w:r>
        <w:rPr>
          <w:rFonts w:hint="eastAsia"/>
        </w:rPr>
        <w:t>圖片來源</w:t>
      </w:r>
      <w:r>
        <w:rPr>
          <w:rFonts w:hint="eastAsia"/>
        </w:rPr>
        <w:t>:</w:t>
      </w:r>
      <w:r w:rsidRPr="009E1AFD">
        <w:t xml:space="preserve"> http://mops.twse.com.tw/mops/web/t164sb03</w:t>
      </w:r>
    </w:p>
    <w:p w:rsidR="00487CA5" w:rsidRDefault="00487CA5" w:rsidP="00487CA5">
      <w:pPr>
        <w:rPr>
          <w:b/>
        </w:rPr>
      </w:pPr>
    </w:p>
    <w:p w:rsidR="00487CA5" w:rsidRDefault="00487CA5" w:rsidP="00487CA5">
      <w:pPr>
        <w:rPr>
          <w:b/>
        </w:rPr>
      </w:pPr>
    </w:p>
    <w:p w:rsidR="00487CA5" w:rsidRPr="00487CA5" w:rsidRDefault="00487CA5" w:rsidP="00487CA5">
      <w:pPr>
        <w:rPr>
          <w:sz w:val="28"/>
          <w:szCs w:val="28"/>
        </w:rPr>
      </w:pPr>
      <w:r w:rsidRPr="00487CA5">
        <w:rPr>
          <w:b/>
          <w:sz w:val="28"/>
          <w:szCs w:val="28"/>
        </w:rPr>
        <w:t>負債經營率</w:t>
      </w:r>
    </w:p>
    <w:p w:rsidR="00487CA5" w:rsidRPr="00487CA5" w:rsidRDefault="00487CA5" w:rsidP="00487CA5">
      <w:pPr>
        <w:rPr>
          <w:sz w:val="28"/>
          <w:szCs w:val="28"/>
        </w:rPr>
      </w:pPr>
      <w:r w:rsidRPr="00487CA5">
        <w:rPr>
          <w:rFonts w:hint="eastAsia"/>
          <w:sz w:val="28"/>
          <w:szCs w:val="28"/>
        </w:rPr>
        <w:t>公式</w:t>
      </w:r>
      <w:r w:rsidRPr="00487CA5">
        <w:rPr>
          <w:rFonts w:hint="eastAsia"/>
          <w:sz w:val="28"/>
          <w:szCs w:val="28"/>
        </w:rPr>
        <w:t>:</w:t>
      </w:r>
      <w:r w:rsidRPr="00487CA5">
        <w:rPr>
          <w:sz w:val="28"/>
          <w:szCs w:val="28"/>
        </w:rPr>
        <w:t>負債經營率＝長期負債總額</w:t>
      </w:r>
      <w:r w:rsidRPr="00487CA5">
        <w:rPr>
          <w:sz w:val="28"/>
          <w:szCs w:val="28"/>
        </w:rPr>
        <w:t>/</w:t>
      </w:r>
      <w:r w:rsidRPr="00487CA5">
        <w:rPr>
          <w:sz w:val="28"/>
          <w:szCs w:val="28"/>
        </w:rPr>
        <w:t>所有者權益總額</w:t>
      </w:r>
      <w:r w:rsidRPr="00487CA5">
        <w:rPr>
          <w:sz w:val="28"/>
          <w:szCs w:val="28"/>
        </w:rPr>
        <w:t>×100</w:t>
      </w:r>
      <w:r w:rsidRPr="00487CA5">
        <w:rPr>
          <w:sz w:val="28"/>
          <w:szCs w:val="28"/>
        </w:rPr>
        <w:t>％</w:t>
      </w:r>
    </w:p>
    <w:p w:rsidR="00487CA5" w:rsidRPr="00487CA5" w:rsidRDefault="00487CA5" w:rsidP="00487CA5">
      <w:pPr>
        <w:rPr>
          <w:sz w:val="28"/>
          <w:szCs w:val="28"/>
        </w:rPr>
      </w:pPr>
      <w:r w:rsidRPr="00487CA5">
        <w:rPr>
          <w:rFonts w:hint="eastAsia"/>
          <w:sz w:val="28"/>
          <w:szCs w:val="28"/>
        </w:rPr>
        <w:t>(</w:t>
      </w:r>
      <w:r w:rsidRPr="00487CA5">
        <w:rPr>
          <w:sz w:val="28"/>
          <w:szCs w:val="28"/>
        </w:rPr>
        <w:t>9,060,188</w:t>
      </w:r>
      <w:r w:rsidRPr="00487CA5">
        <w:rPr>
          <w:rFonts w:hint="eastAsia"/>
          <w:sz w:val="28"/>
          <w:szCs w:val="28"/>
        </w:rPr>
        <w:t>/</w:t>
      </w:r>
      <w:r w:rsidRPr="00487CA5">
        <w:rPr>
          <w:sz w:val="28"/>
          <w:szCs w:val="28"/>
        </w:rPr>
        <w:t xml:space="preserve"> 123,819,367</w:t>
      </w:r>
      <w:r w:rsidRPr="00487CA5">
        <w:rPr>
          <w:rFonts w:hint="eastAsia"/>
          <w:sz w:val="28"/>
          <w:szCs w:val="28"/>
        </w:rPr>
        <w:t>)</w:t>
      </w:r>
      <w:r w:rsidRPr="00487CA5">
        <w:rPr>
          <w:sz w:val="28"/>
          <w:szCs w:val="28"/>
        </w:rPr>
        <w:t xml:space="preserve"> ×100</w:t>
      </w:r>
      <w:r w:rsidRPr="00487CA5">
        <w:rPr>
          <w:sz w:val="28"/>
          <w:szCs w:val="28"/>
        </w:rPr>
        <w:t>％</w:t>
      </w:r>
      <w:r w:rsidRPr="00487CA5">
        <w:rPr>
          <w:rFonts w:hint="eastAsia"/>
          <w:sz w:val="28"/>
          <w:szCs w:val="28"/>
        </w:rPr>
        <w:t>=7.317262412%</w:t>
      </w:r>
    </w:p>
    <w:p w:rsidR="00487CA5" w:rsidRPr="00487CA5" w:rsidRDefault="00487CA5" w:rsidP="00487CA5">
      <w:pPr>
        <w:rPr>
          <w:sz w:val="28"/>
          <w:szCs w:val="28"/>
        </w:rPr>
      </w:pPr>
      <w:r w:rsidRPr="00487CA5">
        <w:rPr>
          <w:sz w:val="28"/>
          <w:szCs w:val="28"/>
        </w:rPr>
        <w:t>負債經營率越低，企業投資者</w:t>
      </w:r>
      <w:hyperlink r:id="rId19" w:tooltip="投入资金" w:history="1">
        <w:r w:rsidRPr="00487CA5">
          <w:rPr>
            <w:rStyle w:val="aa"/>
            <w:sz w:val="28"/>
            <w:szCs w:val="28"/>
          </w:rPr>
          <w:t>投入資金</w:t>
        </w:r>
      </w:hyperlink>
      <w:r w:rsidRPr="00487CA5">
        <w:rPr>
          <w:sz w:val="28"/>
          <w:szCs w:val="28"/>
        </w:rPr>
        <w:t>越大，企業財務狀況的穩定性就越好，企業長期償債能力就越強。反之，長期負債比重越高，企業還本付息的壓力就越大，在企業</w:t>
      </w:r>
      <w:hyperlink r:id="rId20" w:tooltip="资金报酬率" w:history="1">
        <w:r w:rsidRPr="00487CA5">
          <w:rPr>
            <w:rStyle w:val="aa"/>
            <w:sz w:val="28"/>
            <w:szCs w:val="28"/>
          </w:rPr>
          <w:t>資金報酬率</w:t>
        </w:r>
      </w:hyperlink>
      <w:r w:rsidRPr="00487CA5">
        <w:rPr>
          <w:sz w:val="28"/>
          <w:szCs w:val="28"/>
        </w:rPr>
        <w:t>低於長期負債利率的情況下，企業償還長期負債利息和本金的能力就越小；而在企業資金報酬率高於長期負債利率的情況下，企業長期償債能力反而會增強。</w:t>
      </w:r>
    </w:p>
    <w:p w:rsidR="00487CA5" w:rsidRDefault="00487CA5" w:rsidP="00487CA5">
      <w:r>
        <w:rPr>
          <w:rFonts w:hint="eastAsia"/>
          <w:noProof/>
        </w:rPr>
        <w:lastRenderedPageBreak/>
        <w:drawing>
          <wp:inline distT="0" distB="0" distL="0" distR="0" wp14:anchorId="0E75A8F0" wp14:editId="52DEBDE7">
            <wp:extent cx="5274310" cy="2284095"/>
            <wp:effectExtent l="19050" t="0" r="2540" b="0"/>
            <wp:docPr id="10" name="圖片 4" descr="長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長期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CA5" w:rsidRPr="00942E5D" w:rsidRDefault="00487CA5" w:rsidP="00487CA5">
      <w:r>
        <w:rPr>
          <w:rFonts w:hint="eastAsia"/>
        </w:rPr>
        <w:t>圖片來源</w:t>
      </w:r>
      <w:r>
        <w:rPr>
          <w:rFonts w:hint="eastAsia"/>
        </w:rPr>
        <w:t>:</w:t>
      </w:r>
      <w:r w:rsidRPr="00E63DAB">
        <w:t xml:space="preserve"> http://mops.twse.com.tw/mops/web/t05st20</w:t>
      </w:r>
    </w:p>
    <w:p w:rsidR="00487CA5" w:rsidRDefault="00487CA5" w:rsidP="00487CA5"/>
    <w:p w:rsidR="00487CA5" w:rsidRPr="00487CA5" w:rsidRDefault="00487CA5" w:rsidP="00487CA5">
      <w:pPr>
        <w:rPr>
          <w:sz w:val="32"/>
          <w:szCs w:val="32"/>
        </w:rPr>
      </w:pPr>
      <w:r w:rsidRPr="00487CA5">
        <w:rPr>
          <w:rFonts w:hint="eastAsia"/>
          <w:sz w:val="32"/>
          <w:szCs w:val="32"/>
        </w:rPr>
        <w:t>3.</w:t>
      </w:r>
      <w:r w:rsidRPr="00487CA5">
        <w:rPr>
          <w:rFonts w:hint="eastAsia"/>
          <w:sz w:val="32"/>
          <w:szCs w:val="32"/>
        </w:rPr>
        <w:t>買進賣出價位？</w:t>
      </w:r>
    </w:p>
    <w:p w:rsidR="00487CA5" w:rsidRPr="00487CA5" w:rsidRDefault="00487CA5" w:rsidP="00487CA5">
      <w:pPr>
        <w:rPr>
          <w:sz w:val="28"/>
          <w:szCs w:val="28"/>
        </w:rPr>
      </w:pPr>
      <w:r w:rsidRPr="00487CA5">
        <w:rPr>
          <w:rFonts w:hint="eastAsia"/>
          <w:sz w:val="28"/>
          <w:szCs w:val="28"/>
        </w:rPr>
        <w:t>依圖顯示最佳買進價為為</w:t>
      </w:r>
      <w:r w:rsidRPr="00487CA5">
        <w:rPr>
          <w:rFonts w:hint="eastAsia"/>
          <w:sz w:val="28"/>
          <w:szCs w:val="28"/>
        </w:rPr>
        <w:t>75,</w:t>
      </w:r>
      <w:r w:rsidRPr="00487CA5">
        <w:rPr>
          <w:rFonts w:hint="eastAsia"/>
          <w:sz w:val="28"/>
          <w:szCs w:val="28"/>
        </w:rPr>
        <w:t>最佳賣出價為</w:t>
      </w:r>
      <w:r w:rsidRPr="00487CA5">
        <w:rPr>
          <w:rFonts w:hint="eastAsia"/>
          <w:sz w:val="28"/>
          <w:szCs w:val="28"/>
        </w:rPr>
        <w:t>85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487CA5" w:rsidRDefault="00487CA5" w:rsidP="00487CA5">
      <w:r>
        <w:rPr>
          <w:noProof/>
        </w:rPr>
        <w:drawing>
          <wp:inline distT="0" distB="0" distL="0" distR="0" wp14:anchorId="46282208" wp14:editId="0CAE61F4">
            <wp:extent cx="5274310" cy="3298825"/>
            <wp:effectExtent l="19050" t="0" r="2540" b="0"/>
            <wp:docPr id="11" name="圖片 0" descr="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廣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CA5" w:rsidRPr="00EF14F3" w:rsidRDefault="00487CA5" w:rsidP="00487CA5">
      <w:r>
        <w:rPr>
          <w:rFonts w:hint="eastAsia"/>
        </w:rPr>
        <w:t>圖表來源</w:t>
      </w:r>
      <w:r>
        <w:rPr>
          <w:rFonts w:hint="eastAsia"/>
        </w:rPr>
        <w:t>:</w:t>
      </w:r>
      <w:r w:rsidRPr="005F7A87">
        <w:t xml:space="preserve"> https://tw.stock.yahoo.com/q/ta?s=2382</w:t>
      </w:r>
    </w:p>
    <w:p w:rsidR="00487CA5" w:rsidRPr="00487CA5" w:rsidRDefault="00487CA5">
      <w:pPr>
        <w:rPr>
          <w:sz w:val="32"/>
          <w:szCs w:val="32"/>
        </w:rPr>
      </w:pPr>
    </w:p>
    <w:sectPr w:rsidR="00487CA5" w:rsidRPr="00487C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949" w:rsidRDefault="00DD3949" w:rsidP="00487CA5">
      <w:r>
        <w:separator/>
      </w:r>
    </w:p>
  </w:endnote>
  <w:endnote w:type="continuationSeparator" w:id="0">
    <w:p w:rsidR="00DD3949" w:rsidRDefault="00DD3949" w:rsidP="0048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949" w:rsidRDefault="00DD3949" w:rsidP="00487CA5">
      <w:r>
        <w:separator/>
      </w:r>
    </w:p>
  </w:footnote>
  <w:footnote w:type="continuationSeparator" w:id="0">
    <w:p w:rsidR="00DD3949" w:rsidRDefault="00DD3949" w:rsidP="00487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D0"/>
    <w:rsid w:val="00011BF6"/>
    <w:rsid w:val="0003561D"/>
    <w:rsid w:val="000B6685"/>
    <w:rsid w:val="00487CA5"/>
    <w:rsid w:val="00725DA7"/>
    <w:rsid w:val="007853A3"/>
    <w:rsid w:val="007A6A11"/>
    <w:rsid w:val="00882033"/>
    <w:rsid w:val="00977720"/>
    <w:rsid w:val="00B923CB"/>
    <w:rsid w:val="00C747D0"/>
    <w:rsid w:val="00D330B0"/>
    <w:rsid w:val="00DD3949"/>
    <w:rsid w:val="00F2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47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747D0"/>
    <w:rPr>
      <w:b/>
      <w:bCs/>
    </w:rPr>
  </w:style>
  <w:style w:type="table" w:styleId="-4">
    <w:name w:val="Light Grid Accent 4"/>
    <w:basedOn w:val="a1"/>
    <w:uiPriority w:val="62"/>
    <w:rsid w:val="00C747D0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C74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747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7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7C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7CA5"/>
    <w:rPr>
      <w:sz w:val="20"/>
      <w:szCs w:val="20"/>
    </w:rPr>
  </w:style>
  <w:style w:type="character" w:styleId="aa">
    <w:name w:val="Hyperlink"/>
    <w:basedOn w:val="a0"/>
    <w:uiPriority w:val="99"/>
    <w:unhideWhenUsed/>
    <w:rsid w:val="00487CA5"/>
    <w:rPr>
      <w:strike w:val="0"/>
      <w:dstrike w:val="0"/>
      <w:color w:val="2153B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47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747D0"/>
    <w:rPr>
      <w:b/>
      <w:bCs/>
    </w:rPr>
  </w:style>
  <w:style w:type="table" w:styleId="-4">
    <w:name w:val="Light Grid Accent 4"/>
    <w:basedOn w:val="a1"/>
    <w:uiPriority w:val="62"/>
    <w:rsid w:val="00C747D0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C74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747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7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7C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7CA5"/>
    <w:rPr>
      <w:sz w:val="20"/>
      <w:szCs w:val="20"/>
    </w:rPr>
  </w:style>
  <w:style w:type="character" w:styleId="aa">
    <w:name w:val="Hyperlink"/>
    <w:basedOn w:val="a0"/>
    <w:uiPriority w:val="99"/>
    <w:unhideWhenUsed/>
    <w:rsid w:val="00487CA5"/>
    <w:rPr>
      <w:strike w:val="0"/>
      <w:dstrike w:val="0"/>
      <w:color w:val="2153B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chart" Target="charts/chart1.xml"/><Relationship Id="rId12" Type="http://schemas.openxmlformats.org/officeDocument/2006/relationships/chart" Target="charts/chart2.xml"/><Relationship Id="rId17" Type="http://schemas.openxmlformats.org/officeDocument/2006/relationships/hyperlink" Target="http://wiki.mbalib.com/zh-tw/%E7%BB%8F%E8%90%A5%E7%AE%A1%E7%90%8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iki.mbalib.com/zh-tw/%E8%B5%84%E4%BA%A7%E6%80%BB%E9%A2%9D" TargetMode="External"/><Relationship Id="rId20" Type="http://schemas.openxmlformats.org/officeDocument/2006/relationships/hyperlink" Target="http://wiki.mbalib.com/zh-tw/%E8%B5%84%E9%87%91%E6%8A%A5%E9%85%AC%E7%8E%8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iki.mbalib.com/zh-tw/%E8%B4%9F%E5%80%BA%E6%80%BB%E9%A2%9D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hyperlink" Target="http://wiki.mbalib.com/zh-tw/%E6%8A%95%E5%85%A5%E8%B5%84%E9%87%9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5.png"/><Relationship Id="rId22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27963;&#38913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數列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工作表1!$A$2:$A$7</c:f>
              <c:strCache>
                <c:ptCount val="6"/>
                <c:pt idx="0">
                  <c:v>廣達</c:v>
                </c:pt>
                <c:pt idx="1">
                  <c:v>藍天</c:v>
                </c:pt>
                <c:pt idx="2">
                  <c:v>菁英</c:v>
                </c:pt>
                <c:pt idx="3">
                  <c:v>宏碁</c:v>
                </c:pt>
                <c:pt idx="4">
                  <c:v>華碩</c:v>
                </c:pt>
                <c:pt idx="5">
                  <c:v>英業達</c:v>
                </c:pt>
              </c:strCache>
            </c:strRef>
          </c:cat>
          <c:val>
            <c:numRef>
              <c:f>工作表1!$B$2:$B$7</c:f>
              <c:numCache>
                <c:formatCode>0.00%</c:formatCode>
                <c:ptCount val="6"/>
                <c:pt idx="0">
                  <c:v>2.1700000000000001E-2</c:v>
                </c:pt>
                <c:pt idx="1">
                  <c:v>6.7199999999999996E-2</c:v>
                </c:pt>
                <c:pt idx="2">
                  <c:v>2.47E-2</c:v>
                </c:pt>
                <c:pt idx="3" formatCode="0%">
                  <c:v>0</c:v>
                </c:pt>
                <c:pt idx="4">
                  <c:v>3.95E-2</c:v>
                </c:pt>
                <c:pt idx="5">
                  <c:v>1.6199999999999999E-2</c:v>
                </c:pt>
              </c:numCache>
            </c:numRef>
          </c:val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欄1</c:v>
                </c:pt>
              </c:strCache>
            </c:strRef>
          </c:tx>
          <c:invertIfNegative val="0"/>
          <c:cat>
            <c:strRef>
              <c:f>工作表1!$A$2:$A$7</c:f>
              <c:strCache>
                <c:ptCount val="6"/>
                <c:pt idx="0">
                  <c:v>廣達</c:v>
                </c:pt>
                <c:pt idx="1">
                  <c:v>藍天</c:v>
                </c:pt>
                <c:pt idx="2">
                  <c:v>菁英</c:v>
                </c:pt>
                <c:pt idx="3">
                  <c:v>宏碁</c:v>
                </c:pt>
                <c:pt idx="4">
                  <c:v>華碩</c:v>
                </c:pt>
                <c:pt idx="5">
                  <c:v>英業達</c:v>
                </c:pt>
              </c:strCache>
            </c:strRef>
          </c:cat>
          <c:val>
            <c:numRef>
              <c:f>工作表1!$C$2:$C$7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欄2</c:v>
                </c:pt>
              </c:strCache>
            </c:strRef>
          </c:tx>
          <c:invertIfNegative val="0"/>
          <c:cat>
            <c:strRef>
              <c:f>工作表1!$A$2:$A$7</c:f>
              <c:strCache>
                <c:ptCount val="6"/>
                <c:pt idx="0">
                  <c:v>廣達</c:v>
                </c:pt>
                <c:pt idx="1">
                  <c:v>藍天</c:v>
                </c:pt>
                <c:pt idx="2">
                  <c:v>菁英</c:v>
                </c:pt>
                <c:pt idx="3">
                  <c:v>宏碁</c:v>
                </c:pt>
                <c:pt idx="4">
                  <c:v>華碩</c:v>
                </c:pt>
                <c:pt idx="5">
                  <c:v>英業達</c:v>
                </c:pt>
              </c:strCache>
            </c:strRef>
          </c:cat>
          <c:val>
            <c:numRef>
              <c:f>工作表1!$D$2:$D$7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shape val="cylinder"/>
        <c:axId val="132417024"/>
        <c:axId val="132418560"/>
        <c:axId val="0"/>
      </c:bar3DChart>
      <c:catAx>
        <c:axId val="132417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2418560"/>
        <c:crosses val="autoZero"/>
        <c:auto val="1"/>
        <c:lblAlgn val="ctr"/>
        <c:lblOffset val="100"/>
        <c:noMultiLvlLbl val="0"/>
      </c:catAx>
      <c:valAx>
        <c:axId val="13241856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3241702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800"/>
      </a:pPr>
      <a:endParaRPr lang="zh-TW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工作表1!$F$3</c:f>
              <c:strCache>
                <c:ptCount val="1"/>
                <c:pt idx="0">
                  <c:v>ROE(%)</c:v>
                </c:pt>
              </c:strCache>
            </c:strRef>
          </c:tx>
          <c:val>
            <c:numRef>
              <c:f>工作表1!$F$4:$F$9</c:f>
              <c:numCache>
                <c:formatCode>0.00%</c:formatCode>
                <c:ptCount val="6"/>
                <c:pt idx="0">
                  <c:v>0.20899999999999999</c:v>
                </c:pt>
                <c:pt idx="1">
                  <c:v>0.16700000000000001</c:v>
                </c:pt>
                <c:pt idx="2">
                  <c:v>0.19800000000000001</c:v>
                </c:pt>
                <c:pt idx="3">
                  <c:v>0.186</c:v>
                </c:pt>
                <c:pt idx="4">
                  <c:v>0.14599999999999999</c:v>
                </c:pt>
                <c:pt idx="5">
                  <c:v>0.14199999999999999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工作表1!$G$3</c:f>
              <c:strCache>
                <c:ptCount val="1"/>
                <c:pt idx="0">
                  <c:v>ROA(%)</c:v>
                </c:pt>
              </c:strCache>
            </c:strRef>
          </c:tx>
          <c:val>
            <c:numRef>
              <c:f>工作表1!$G$4:$G$9</c:f>
              <c:numCache>
                <c:formatCode>0.00%</c:formatCode>
                <c:ptCount val="6"/>
                <c:pt idx="0">
                  <c:v>7.8399999999999997E-2</c:v>
                </c:pt>
                <c:pt idx="1">
                  <c:v>5.5800000000000002E-2</c:v>
                </c:pt>
                <c:pt idx="2">
                  <c:v>6.2399999999999997E-2</c:v>
                </c:pt>
                <c:pt idx="3">
                  <c:v>6.7699999999999996E-2</c:v>
                </c:pt>
                <c:pt idx="4">
                  <c:v>3.4200000000000001E-2</c:v>
                </c:pt>
                <c:pt idx="5">
                  <c:v>3.5299999999999998E-2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214400"/>
        <c:axId val="137499392"/>
      </c:lineChart>
      <c:catAx>
        <c:axId val="138214400"/>
        <c:scaling>
          <c:orientation val="minMax"/>
        </c:scaling>
        <c:delete val="1"/>
        <c:axPos val="b"/>
        <c:majorGridlines/>
        <c:majorTickMark val="out"/>
        <c:minorTickMark val="none"/>
        <c:tickLblPos val="nextTo"/>
        <c:crossAx val="137499392"/>
        <c:crosses val="autoZero"/>
        <c:auto val="1"/>
        <c:lblAlgn val="ctr"/>
        <c:lblOffset val="100"/>
        <c:noMultiLvlLbl val="0"/>
      </c:catAx>
      <c:valAx>
        <c:axId val="137499392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1382144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工作表1!$A$2</c:f>
              <c:strCache>
                <c:ptCount val="1"/>
                <c:pt idx="0">
                  <c:v>流動比率(%)</c:v>
                </c:pt>
              </c:strCache>
            </c:strRef>
          </c:tx>
          <c:marker>
            <c:symbol val="none"/>
          </c:marker>
          <c:val>
            <c:numRef>
              <c:f>工作表1!$B$2:$G$2</c:f>
              <c:numCache>
                <c:formatCode>0.00%</c:formatCode>
                <c:ptCount val="6"/>
                <c:pt idx="0">
                  <c:v>1.5593999999999997</c:v>
                </c:pt>
                <c:pt idx="1">
                  <c:v>1.3732</c:v>
                </c:pt>
                <c:pt idx="2">
                  <c:v>1.4155999999999997</c:v>
                </c:pt>
                <c:pt idx="3">
                  <c:v>1.3916999999999997</c:v>
                </c:pt>
                <c:pt idx="4">
                  <c:v>1.4121999999999997</c:v>
                </c:pt>
                <c:pt idx="5">
                  <c:v>1.2641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工作表1!$A$3</c:f>
              <c:strCache>
                <c:ptCount val="1"/>
                <c:pt idx="0">
                  <c:v>速動比率(%)</c:v>
                </c:pt>
              </c:strCache>
            </c:strRef>
          </c:tx>
          <c:marker>
            <c:symbol val="none"/>
          </c:marker>
          <c:val>
            <c:numRef>
              <c:f>工作表1!$B$3:$G$3</c:f>
              <c:numCache>
                <c:formatCode>0.00%</c:formatCode>
                <c:ptCount val="6"/>
                <c:pt idx="0">
                  <c:v>1.4535999999999998</c:v>
                </c:pt>
                <c:pt idx="1">
                  <c:v>1.2713999999999999</c:v>
                </c:pt>
                <c:pt idx="2">
                  <c:v>1.2582</c:v>
                </c:pt>
                <c:pt idx="3">
                  <c:v>1.1738999999999997</c:v>
                </c:pt>
                <c:pt idx="4">
                  <c:v>1.2182999999999997</c:v>
                </c:pt>
                <c:pt idx="5">
                  <c:v>1.0436999999999999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508352"/>
        <c:axId val="137509888"/>
      </c:lineChart>
      <c:catAx>
        <c:axId val="137508352"/>
        <c:scaling>
          <c:orientation val="minMax"/>
        </c:scaling>
        <c:delete val="0"/>
        <c:axPos val="b"/>
        <c:majorTickMark val="out"/>
        <c:minorTickMark val="none"/>
        <c:tickLblPos val="nextTo"/>
        <c:crossAx val="137509888"/>
        <c:crosses val="autoZero"/>
        <c:auto val="1"/>
        <c:lblAlgn val="ctr"/>
        <c:lblOffset val="100"/>
        <c:noMultiLvlLbl val="0"/>
      </c:catAx>
      <c:valAx>
        <c:axId val="13750988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375083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peace</dc:creator>
  <cp:lastModifiedBy>peace</cp:lastModifiedBy>
  <cp:revision>2</cp:revision>
  <dcterms:created xsi:type="dcterms:W3CDTF">2014-06-09T03:34:00Z</dcterms:created>
  <dcterms:modified xsi:type="dcterms:W3CDTF">2014-06-09T03:34:00Z</dcterms:modified>
</cp:coreProperties>
</file>